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D98" w:rsidRPr="008855B7" w:rsidRDefault="002D7D98" w:rsidP="00E5217E">
      <w:pPr>
        <w:pStyle w:val="NormalWeb"/>
        <w:shd w:val="clear" w:color="auto" w:fill="FFFFFF"/>
        <w:spacing w:before="0" w:beforeAutospacing="0" w:after="0" w:afterAutospacing="0"/>
        <w:jc w:val="center"/>
        <w:rPr>
          <w:color w:val="000000"/>
        </w:rPr>
      </w:pPr>
      <w:r w:rsidRPr="008855B7">
        <w:rPr>
          <w:b/>
          <w:bCs/>
          <w:color w:val="000000"/>
        </w:rPr>
        <w:t>HEMŞİRELİK YÖNETMELİĞİ</w:t>
      </w:r>
    </w:p>
    <w:p w:rsidR="002D7D98" w:rsidRPr="008855B7" w:rsidRDefault="002D7D98" w:rsidP="00E5217E">
      <w:pPr>
        <w:pStyle w:val="NormalWeb"/>
        <w:shd w:val="clear" w:color="auto" w:fill="FFFFFF"/>
        <w:spacing w:before="0" w:beforeAutospacing="0" w:after="0" w:afterAutospacing="0"/>
        <w:jc w:val="center"/>
        <w:rPr>
          <w:color w:val="000000"/>
        </w:rPr>
      </w:pPr>
      <w:r w:rsidRPr="008855B7">
        <w:rPr>
          <w:b/>
          <w:bCs/>
          <w:color w:val="000000"/>
        </w:rPr>
        <w:t>Resmi Gazete:8.3.2010-27515</w:t>
      </w:r>
    </w:p>
    <w:p w:rsidR="002D7D98" w:rsidRPr="008855B7" w:rsidRDefault="002D7D98" w:rsidP="00E5217E">
      <w:pPr>
        <w:pStyle w:val="NormalWeb"/>
        <w:shd w:val="clear" w:color="auto" w:fill="FFFFFF"/>
        <w:spacing w:before="0" w:beforeAutospacing="0" w:after="0" w:afterAutospacing="0"/>
        <w:jc w:val="center"/>
        <w:rPr>
          <w:color w:val="000000"/>
        </w:rPr>
      </w:pPr>
      <w:r w:rsidRPr="008855B7">
        <w:rPr>
          <w:b/>
          <w:bCs/>
          <w:color w:val="000000"/>
        </w:rPr>
        <w:t>BİRİNCİ BÖLÜM</w:t>
      </w:r>
    </w:p>
    <w:p w:rsidR="002D7D98" w:rsidRPr="008855B7" w:rsidRDefault="002D7D98" w:rsidP="00E5217E">
      <w:pPr>
        <w:pStyle w:val="NormalWeb"/>
        <w:shd w:val="clear" w:color="auto" w:fill="FFFFFF"/>
        <w:spacing w:before="0" w:beforeAutospacing="0" w:after="0" w:afterAutospacing="0"/>
        <w:jc w:val="center"/>
        <w:rPr>
          <w:color w:val="000000"/>
        </w:rPr>
      </w:pPr>
      <w:r w:rsidRPr="008855B7">
        <w:rPr>
          <w:b/>
          <w:bCs/>
          <w:color w:val="000000"/>
        </w:rPr>
        <w:t>Amaç, Kapsam, Dayanak ve Tanımlar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t>Amaç</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t>MADDE 1 –</w:t>
      </w:r>
      <w:r w:rsidRPr="008855B7">
        <w:rPr>
          <w:rStyle w:val="apple-converted-space"/>
          <w:color w:val="000000"/>
        </w:rPr>
        <w:t> </w:t>
      </w:r>
      <w:r w:rsidRPr="008855B7">
        <w:rPr>
          <w:color w:val="000000"/>
        </w:rPr>
        <w:t>(1) Bu Yönetmeliğin amacı; sağlık hizmeti sunulan kurum ve kuruluşlarda görev yapan hemşirelerin çalışma alanlarına, pozisyonlarına ve eğitim durumlarına göre görev, yetki ve sorumluluklarını belirlemektir.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t>Kapsam</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t>MADDE 2 –</w:t>
      </w:r>
      <w:r w:rsidRPr="008855B7">
        <w:rPr>
          <w:rStyle w:val="apple-converted-space"/>
          <w:color w:val="000000"/>
        </w:rPr>
        <w:t> </w:t>
      </w:r>
      <w:r w:rsidRPr="008855B7">
        <w:rPr>
          <w:color w:val="000000"/>
        </w:rPr>
        <w:t>(1) Bu Yönetmelik, kamu ve özel tüm sağlık kurum ve kuruluşlarında ve hemşirelik hizmetleri sunulan diğer alanlarda görev yapan hemşireleri kapsar.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t>Dayanak</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t>MADDE 3 –</w:t>
      </w:r>
      <w:r w:rsidRPr="008855B7">
        <w:rPr>
          <w:rStyle w:val="apple-converted-space"/>
          <w:color w:val="000000"/>
        </w:rPr>
        <w:t> </w:t>
      </w:r>
      <w:r w:rsidRPr="008855B7">
        <w:rPr>
          <w:color w:val="000000"/>
        </w:rPr>
        <w:t xml:space="preserve">(1) Bu Yönetmelik </w:t>
      </w:r>
      <w:proofErr w:type="gramStart"/>
      <w:r w:rsidRPr="008855B7">
        <w:rPr>
          <w:color w:val="000000"/>
        </w:rPr>
        <w:t>25/2/1954</w:t>
      </w:r>
      <w:proofErr w:type="gramEnd"/>
      <w:r w:rsidRPr="008855B7">
        <w:rPr>
          <w:color w:val="000000"/>
        </w:rPr>
        <w:t xml:space="preserve"> tarihli ve 6283 sayılı Hemşirelik Kanununun 4 üncü maddesine dayanılarak hazırlanmıştır.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t>Tanımlar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t>MADDE 4 –</w:t>
      </w:r>
      <w:r w:rsidRPr="008855B7">
        <w:rPr>
          <w:rStyle w:val="apple-converted-space"/>
          <w:color w:val="000000"/>
        </w:rPr>
        <w:t> </w:t>
      </w:r>
      <w:r w:rsidRPr="008855B7">
        <w:rPr>
          <w:color w:val="000000"/>
        </w:rPr>
        <w:t>(1) Bu Yönetmelikte geçen;</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a) Bakanlık: Sağlık Bakanlığını,</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b) Hemşire: 6283 sayılı Hemşirelik Kanununa göre hemşirelik mesleğini icra etmeye yetkili sağlık personelini,</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c) Hemşirelik tanılama süreci: Bireyin muhtemel veya mevcut sağlık sorununa yönelik olarak, hemşirelik hizmetleri çerçevesinde bakıma en uygun yaklaşımı belirlemeyi mümkün kılan durum değerlendirmesini,</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 xml:space="preserve">ç) Kanun: </w:t>
      </w:r>
      <w:proofErr w:type="gramStart"/>
      <w:r w:rsidRPr="008855B7">
        <w:rPr>
          <w:color w:val="000000"/>
        </w:rPr>
        <w:t>25/2/1954</w:t>
      </w:r>
      <w:proofErr w:type="gramEnd"/>
      <w:r w:rsidRPr="008855B7">
        <w:rPr>
          <w:color w:val="000000"/>
        </w:rPr>
        <w:t xml:space="preserve"> tarihli ve 6283 sayılı Hemşirelik Kanununu,</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d) Başhemşire: Kurum ve kuruluşlarda hemşirelik hizmetlerini en üst düzeyde temsil eden hemşireyi,</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e) Uzman hemşire: Mesleğiyle ilgili lisansüstü eğitim alarak uzmanlaşan ve diploması Bakanlıkça tescil edilen hemşireyi,</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f) Yetki belgesi: Hemşirelerin meslekleriyle ilgili özellik arz eden birim ve alanlarda ilgili mevzuatında düzenlenen hizmet içi eğitim çalışmaları neticesinde Bakanlıkça tanzim olunan belgeyi,</w:t>
      </w:r>
    </w:p>
    <w:p w:rsidR="002D7D98" w:rsidRPr="008855B7" w:rsidRDefault="002D7D98" w:rsidP="002D7D98">
      <w:pPr>
        <w:pStyle w:val="NormalWeb"/>
        <w:shd w:val="clear" w:color="auto" w:fill="FFFFFF"/>
        <w:spacing w:before="150" w:beforeAutospacing="0" w:after="225" w:afterAutospacing="0" w:line="243" w:lineRule="atLeast"/>
        <w:rPr>
          <w:color w:val="000000"/>
        </w:rPr>
      </w:pPr>
      <w:proofErr w:type="gramStart"/>
      <w:r w:rsidRPr="008855B7">
        <w:rPr>
          <w:color w:val="000000"/>
        </w:rPr>
        <w:t>ifade</w:t>
      </w:r>
      <w:proofErr w:type="gramEnd"/>
      <w:r w:rsidRPr="008855B7">
        <w:rPr>
          <w:color w:val="000000"/>
        </w:rPr>
        <w:t xml:space="preserve"> eder.</w:t>
      </w:r>
    </w:p>
    <w:p w:rsidR="002D7D98" w:rsidRPr="008855B7" w:rsidRDefault="002D7D98" w:rsidP="002D7D98">
      <w:pPr>
        <w:pStyle w:val="NormalWeb"/>
        <w:shd w:val="clear" w:color="auto" w:fill="FFFFFF"/>
        <w:spacing w:before="150" w:beforeAutospacing="0" w:after="225" w:afterAutospacing="0" w:line="243" w:lineRule="atLeast"/>
        <w:jc w:val="center"/>
        <w:rPr>
          <w:color w:val="000000"/>
        </w:rPr>
      </w:pPr>
      <w:r w:rsidRPr="008855B7">
        <w:rPr>
          <w:b/>
          <w:bCs/>
          <w:color w:val="000000"/>
        </w:rPr>
        <w:t>İKİNCİ BÖLÜM</w:t>
      </w:r>
    </w:p>
    <w:p w:rsidR="002D7D98" w:rsidRPr="008855B7" w:rsidRDefault="002D7D98" w:rsidP="002D7D98">
      <w:pPr>
        <w:pStyle w:val="NormalWeb"/>
        <w:shd w:val="clear" w:color="auto" w:fill="FFFFFF"/>
        <w:spacing w:before="150" w:beforeAutospacing="0" w:after="225" w:afterAutospacing="0" w:line="243" w:lineRule="atLeast"/>
        <w:jc w:val="center"/>
        <w:rPr>
          <w:color w:val="000000"/>
        </w:rPr>
      </w:pPr>
      <w:r w:rsidRPr="008855B7">
        <w:rPr>
          <w:b/>
          <w:bCs/>
          <w:color w:val="000000"/>
        </w:rPr>
        <w:t>Hemşirelik Hizmetlerinin Kapsamı, Hemşirelerin Görev, Yetki ve Sorumlulukları</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t>Hemşirelik hizmetlerinin kapsamı</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lastRenderedPageBreak/>
        <w:t>MADDE 5 –</w:t>
      </w:r>
      <w:r w:rsidRPr="008855B7">
        <w:rPr>
          <w:rStyle w:val="apple-converted-space"/>
          <w:color w:val="000000"/>
        </w:rPr>
        <w:t> </w:t>
      </w:r>
      <w:r w:rsidRPr="008855B7">
        <w:rPr>
          <w:color w:val="000000"/>
        </w:rPr>
        <w:t>(1) Hemşirelik hizmetleri aşağıdaki hususları kapsar:</w:t>
      </w:r>
    </w:p>
    <w:p w:rsidR="002D7D98" w:rsidRPr="008855B7" w:rsidRDefault="002D7D98" w:rsidP="002D7D98">
      <w:pPr>
        <w:pStyle w:val="NormalWeb"/>
        <w:shd w:val="clear" w:color="auto" w:fill="FFFFFF"/>
        <w:spacing w:before="150" w:beforeAutospacing="0" w:after="225" w:afterAutospacing="0" w:line="243" w:lineRule="atLeast"/>
        <w:rPr>
          <w:color w:val="000000"/>
        </w:rPr>
      </w:pPr>
      <w:proofErr w:type="gramStart"/>
      <w:r w:rsidRPr="008855B7">
        <w:rPr>
          <w:color w:val="000000"/>
        </w:rPr>
        <w:t>a) Birey, aile, grup ve toplumun sağlığının geliştirilmesi, korunması, hastalık durumunda iyileştirilmesi ve yaşam kalitesinin artırılması amacıyla hemşirenin yerine getirdiği bakım verme, hekimce hazırlanan tıbbî tanı ve tedavi planının oluşturulması ve uygulanması, güvenli ve sağlıklı bir çevre oluşturma, eğitim, danışmanlık, araştırma, yönetim, kalite geliştirme, işbirliği yapma ve iletişimi sağlama rolleri,</w:t>
      </w:r>
      <w:proofErr w:type="gramEnd"/>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b) Mesleki eğitimle kazanılan bilgi, beceri ve karar verme yeteneklerini kullanarak, insanlara yaşadıkları ve çalıştıkları her ortamda doğum öncesinden başlayarak yaşamın tüm evrelerinde meslek standartları ve etik ilkeler çerçevesinde sunduğu hemşirelik bakımı,</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c) Hemşirelik hizmetlerinin ve bu hizmetlerden sorumlu insan gücü kaynaklarının, diğer kaynakların ve bakım ortamının yönetimi ile risk yönetimini.</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t>Hemşirelerin görev, yetki ve sorumlulukları</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t>MADDE 6 –</w:t>
      </w:r>
      <w:r w:rsidRPr="008855B7">
        <w:rPr>
          <w:rStyle w:val="apple-converted-space"/>
          <w:b/>
          <w:bCs/>
          <w:color w:val="000000"/>
        </w:rPr>
        <w:t> </w:t>
      </w:r>
      <w:r w:rsidRPr="008855B7">
        <w:rPr>
          <w:color w:val="000000"/>
        </w:rPr>
        <w:t>(1) Hemşireler;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a) Her ortamda bireyin, ailenin ve toplumun hemşirelik girişimleri ile karşılanabilecek sağlıkla ilgili ihtiyaçlarını belirler ve hemşirelik tanılama süreci kapsamında belirlenen ihtiyaçlar çerçevesinde hemşirelik bakımını kanıta dayalı olarak planlar, uygular, değerlendirir ve denetler.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b) Verilen hemşirelik bakımının kalitesini ve sonuçlarını değerlendirir, hizmet sunumunda bu sonuçlardan yararlanarak gerekli iyileştirmeleri yapar ve sonuçları ilgili birime iletir.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c) Tıbbî tanı ve tedavi planının uygulanmasında; hekim tarafından, acil durumlar dışında yazılı olarak verilen tedavileri uygular, hastada beklenmeyen veya ani gelişen durumlar ile acil uygulanması gereken tanı ve tedavi planlarında müdavi hekimin şifahi tıbbi istemini kabul eder. Bu süreçte hasta ve çalışan güvenliği açısından gerekli tedbirleri alır.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ç) Hastaya lüzumu halinde uygulanmak üzere hekim tarafından reçete edilen tıbbî talepleri bilimsel esaslara göre belirlenen sağlık bakım, tanı ve tedavi protokolleri doğrultusunda yerine getirir.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d) Tıbbi tanı ve tedavi işlemlerinin hizmetten faydalanana zarar vereceğini öngördüğü durumlarda, müdavi hekim ile durumu görüşür, hekim işlemin uygulanmasında ısrar ederse durumu kayıt altına alarak hekimin yazılı talebi üzerine söz konusu işlemi uygular.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e) Tıbbî tanı ve tedavi girişimlerinin hasta üzerindeki etkilerini izler, istenmeyen durumların oluşması halinde gerekli kayıtları tutarak  hekime bildirir ve gerekli önlemleri alır.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f) Görevi teslim alacak hemşire gelmeden ve gerekli bilgiyi hasta başında sözlü ve yazılı olarak teslim etmeden ve doğal afet, toplu kazalar gibi olağanüstü durumlarda ise hemşireye olan ihtiyaç ortadan kalkmadan kurumdan ayrılamaz.</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g) Hemşirelikle ilgili eğitim, danışmanlık, araştırma faaliyetlerini yürütür. Mesleği ile ilgili bilimsel etkinliklere katılır. Toplumun, öğrenci hemşirelerin, sağlık çalışanlarının ve adaylarının eğitimine destek verir ve katkıda bulunur.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h) Sağlık hizmetlerinin verildiği tüm alanlarda etkin bir şekilde görev alır, oluşturulan sağlık politikalarının yürütülmesinde, mevzuat çerçevesinde karar mekanizmalarına katılır.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lastRenderedPageBreak/>
        <w:t>ı) Hizmet sunumunda, hizmetten faydalananların bireysel farklılıklarını kabul ederek, insan onurunu, mahremiyetini ve kültürel değerlerini azami ölçüde göz önünde bulundurur.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i) Tüm uygulamalarını kayıt altına alır.</w:t>
      </w:r>
    </w:p>
    <w:p w:rsidR="002D7D98" w:rsidRPr="008855B7" w:rsidRDefault="002D7D98" w:rsidP="002D7D98">
      <w:pPr>
        <w:pStyle w:val="NormalWeb"/>
        <w:shd w:val="clear" w:color="auto" w:fill="FFFFFF"/>
        <w:spacing w:before="150" w:beforeAutospacing="0" w:after="225" w:afterAutospacing="0" w:line="243" w:lineRule="atLeast"/>
        <w:jc w:val="center"/>
        <w:rPr>
          <w:color w:val="000000"/>
        </w:rPr>
      </w:pPr>
      <w:r w:rsidRPr="008855B7">
        <w:rPr>
          <w:b/>
          <w:bCs/>
          <w:color w:val="000000"/>
        </w:rPr>
        <w:t>ÜÇÜNCÜ BÖLÜM</w:t>
      </w:r>
    </w:p>
    <w:p w:rsidR="002D7D98" w:rsidRPr="008855B7" w:rsidRDefault="002D7D98" w:rsidP="002D7D98">
      <w:pPr>
        <w:pStyle w:val="NormalWeb"/>
        <w:shd w:val="clear" w:color="auto" w:fill="FFFFFF"/>
        <w:spacing w:before="150" w:beforeAutospacing="0" w:after="225" w:afterAutospacing="0" w:line="243" w:lineRule="atLeast"/>
        <w:jc w:val="center"/>
        <w:rPr>
          <w:color w:val="000000"/>
        </w:rPr>
      </w:pPr>
      <w:r w:rsidRPr="008855B7">
        <w:rPr>
          <w:b/>
          <w:bCs/>
          <w:color w:val="000000"/>
        </w:rPr>
        <w:t>Uzman Hemşire ve Yetki Belgesine Sahip Hemşireler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t>Uzman hemşire</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t>MADDE 7 –</w:t>
      </w:r>
      <w:r w:rsidRPr="008855B7">
        <w:rPr>
          <w:rStyle w:val="apple-converted-space"/>
          <w:color w:val="000000"/>
        </w:rPr>
        <w:t> </w:t>
      </w:r>
      <w:r w:rsidRPr="008855B7">
        <w:rPr>
          <w:color w:val="000000"/>
        </w:rPr>
        <w:t>(1) Lisans mezunu hemşirelerden; yurtiçinde hemşirelik anabilim dallarında ve bunların altında açılan lisansüstü eğitim programlarından mezun olan ve diplomaları Bakanlıkça tescil edilen hemşireler ile yurtdışında bu programlardan mezun olup, diplomalarının denklikleri onaylanan ve diplomaları Bakanlıkça tescil edilen hemşireler alanlarında uzman hemşire olarak çalışırlar.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(2) Uzman hemşireler, temel hemşirelik rollerinin yanı sıra uzmanlığını yaptığı alana yönelik klinik bilgi, beceri, sağlık araştırmaları, danışmanlık hizmetleri, sağlık eğitim hizmetlerinin programlanması, uygulanması ve değerlendirilmesinde sorumluluk alır, uygular ve değerlendirir.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“(3)</w:t>
      </w:r>
      <w:r w:rsidRPr="008855B7">
        <w:rPr>
          <w:rStyle w:val="apple-converted-space"/>
          <w:color w:val="000000"/>
        </w:rPr>
        <w:t> </w:t>
      </w:r>
      <w:r w:rsidRPr="008855B7">
        <w:rPr>
          <w:b/>
          <w:bCs/>
          <w:color w:val="000000"/>
        </w:rPr>
        <w:t>(Ek fıkra:19.4.2011-27910)</w:t>
      </w:r>
      <w:r w:rsidRPr="008855B7">
        <w:rPr>
          <w:rStyle w:val="apple-converted-space"/>
          <w:color w:val="000000"/>
        </w:rPr>
        <w:t> </w:t>
      </w:r>
      <w:r w:rsidRPr="008855B7">
        <w:rPr>
          <w:color w:val="000000"/>
        </w:rPr>
        <w:t>Uzmanlık alanı ile ilgili kapsamlı sağlık değerlendirmeleri yapar. Hemşirelik bakımını planlar, uygular ve yönetir. Bakımda istenen hedeflere ulaşılamaması durumunda, yeni stratejiler geliştirir.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(4)</w:t>
      </w:r>
      <w:r w:rsidRPr="008855B7">
        <w:rPr>
          <w:rStyle w:val="apple-converted-space"/>
          <w:color w:val="000000"/>
        </w:rPr>
        <w:t> </w:t>
      </w:r>
      <w:r w:rsidRPr="008855B7">
        <w:rPr>
          <w:b/>
          <w:bCs/>
          <w:color w:val="000000"/>
        </w:rPr>
        <w:t>(Ek fıkra:19.4.2011-27910)</w:t>
      </w:r>
      <w:r w:rsidRPr="008855B7">
        <w:rPr>
          <w:color w:val="000000"/>
        </w:rPr>
        <w:t>Hastalara uygulanan tıbbi tanı ve tedavi işlemlerine ilişkin karşılaşılan kritik durumlarda, uygun kararın verilmesinde hemşirelere danışmanlık yapar, meslekî gelişimleri açısından hemşirelere yardımcı olur.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(5)</w:t>
      </w:r>
      <w:r w:rsidRPr="008855B7">
        <w:rPr>
          <w:rStyle w:val="apple-converted-space"/>
          <w:color w:val="000000"/>
        </w:rPr>
        <w:t> </w:t>
      </w:r>
      <w:r w:rsidRPr="008855B7">
        <w:rPr>
          <w:b/>
          <w:bCs/>
          <w:color w:val="000000"/>
        </w:rPr>
        <w:t>(Ek fıkra:19.4.2011-27910)</w:t>
      </w:r>
      <w:r w:rsidRPr="008855B7">
        <w:rPr>
          <w:color w:val="000000"/>
        </w:rPr>
        <w:t>Hasta ve ailesinin eğitimini planlar. Hastaları, bakım ve tedavi yöntemleri ile olası yan etkileri hakkında bilgilendirir. Hastaların güncel ve güvenilir sağlık bilgisine ulaşmasını sağlar.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(6)</w:t>
      </w:r>
      <w:r w:rsidRPr="008855B7">
        <w:rPr>
          <w:rStyle w:val="apple-converted-space"/>
          <w:color w:val="000000"/>
        </w:rPr>
        <w:t> </w:t>
      </w:r>
      <w:r w:rsidRPr="008855B7">
        <w:rPr>
          <w:b/>
          <w:bCs/>
          <w:color w:val="000000"/>
        </w:rPr>
        <w:t>(Ek fıkra:19.4.2011-27910)</w:t>
      </w:r>
      <w:r w:rsidRPr="008855B7">
        <w:rPr>
          <w:color w:val="000000"/>
        </w:rPr>
        <w:t>Uzmanlık alanı ile ilgili ve etik konularda kişi, kurum ve kuruluşlara danışmanlık ve bilirkişilik yapar. Çalıştığı kurumda araştırmalarla ilgili etik komitede görev alabilir.”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t>Yetki belgesine sahip hemşireler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t>MADDE 8 –</w:t>
      </w:r>
      <w:r w:rsidRPr="008855B7">
        <w:rPr>
          <w:rStyle w:val="apple-converted-space"/>
          <w:color w:val="000000"/>
        </w:rPr>
        <w:t> </w:t>
      </w:r>
      <w:r w:rsidRPr="008855B7">
        <w:rPr>
          <w:color w:val="000000"/>
        </w:rPr>
        <w:t>(1) Hemşirelik mesleği ile ilgili özellik arz eden birim ve alanlarda yetki belgesine sahip ve bu alanlara ilişkin hemşirelik bakım hizmetlerinden sorumlu hemşiredir.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(2) Yetki belgesine sahip hemşirelerin görev, yetki ve sorumlulukları, sahip oldukları yetki belgeleri ve çalıştıkları özellikli alana göre Bakanlıkça düzenlenir.</w:t>
      </w:r>
    </w:p>
    <w:p w:rsidR="00E5217E" w:rsidRDefault="00E5217E" w:rsidP="002D7D98">
      <w:pPr>
        <w:pStyle w:val="NormalWeb"/>
        <w:shd w:val="clear" w:color="auto" w:fill="FFFFFF"/>
        <w:spacing w:before="150" w:beforeAutospacing="0" w:after="225" w:afterAutospacing="0" w:line="243" w:lineRule="atLeast"/>
        <w:jc w:val="center"/>
        <w:rPr>
          <w:b/>
          <w:bCs/>
          <w:color w:val="000000"/>
        </w:rPr>
      </w:pPr>
    </w:p>
    <w:p w:rsidR="00E5217E" w:rsidRDefault="00E5217E" w:rsidP="002D7D98">
      <w:pPr>
        <w:pStyle w:val="NormalWeb"/>
        <w:shd w:val="clear" w:color="auto" w:fill="FFFFFF"/>
        <w:spacing w:before="150" w:beforeAutospacing="0" w:after="225" w:afterAutospacing="0" w:line="243" w:lineRule="atLeast"/>
        <w:jc w:val="center"/>
        <w:rPr>
          <w:b/>
          <w:bCs/>
          <w:color w:val="000000"/>
        </w:rPr>
      </w:pPr>
    </w:p>
    <w:p w:rsidR="00E5217E" w:rsidRDefault="00E5217E" w:rsidP="002D7D98">
      <w:pPr>
        <w:pStyle w:val="NormalWeb"/>
        <w:shd w:val="clear" w:color="auto" w:fill="FFFFFF"/>
        <w:spacing w:before="150" w:beforeAutospacing="0" w:after="225" w:afterAutospacing="0" w:line="243" w:lineRule="atLeast"/>
        <w:jc w:val="center"/>
        <w:rPr>
          <w:b/>
          <w:bCs/>
          <w:color w:val="000000"/>
        </w:rPr>
      </w:pPr>
    </w:p>
    <w:p w:rsidR="00E5217E" w:rsidRDefault="00E5217E" w:rsidP="002D7D98">
      <w:pPr>
        <w:pStyle w:val="NormalWeb"/>
        <w:shd w:val="clear" w:color="auto" w:fill="FFFFFF"/>
        <w:spacing w:before="150" w:beforeAutospacing="0" w:after="225" w:afterAutospacing="0" w:line="243" w:lineRule="atLeast"/>
        <w:jc w:val="center"/>
        <w:rPr>
          <w:b/>
          <w:bCs/>
          <w:color w:val="000000"/>
        </w:rPr>
      </w:pPr>
    </w:p>
    <w:p w:rsidR="002D7D98" w:rsidRPr="008855B7" w:rsidRDefault="002D7D98" w:rsidP="002D7D98">
      <w:pPr>
        <w:pStyle w:val="NormalWeb"/>
        <w:shd w:val="clear" w:color="auto" w:fill="FFFFFF"/>
        <w:spacing w:before="150" w:beforeAutospacing="0" w:after="225" w:afterAutospacing="0" w:line="243" w:lineRule="atLeast"/>
        <w:jc w:val="center"/>
        <w:rPr>
          <w:color w:val="000000"/>
        </w:rPr>
      </w:pPr>
      <w:r w:rsidRPr="008855B7">
        <w:rPr>
          <w:b/>
          <w:bCs/>
          <w:color w:val="000000"/>
        </w:rPr>
        <w:lastRenderedPageBreak/>
        <w:t>DÖRDÜNCÜ BÖLÜM</w:t>
      </w:r>
    </w:p>
    <w:p w:rsidR="002D7D98" w:rsidRPr="008855B7" w:rsidRDefault="002D7D98" w:rsidP="002D7D98">
      <w:pPr>
        <w:pStyle w:val="NormalWeb"/>
        <w:shd w:val="clear" w:color="auto" w:fill="FFFFFF"/>
        <w:spacing w:before="150" w:beforeAutospacing="0" w:after="225" w:afterAutospacing="0" w:line="243" w:lineRule="atLeast"/>
        <w:jc w:val="center"/>
        <w:rPr>
          <w:color w:val="000000"/>
        </w:rPr>
      </w:pPr>
      <w:r w:rsidRPr="008855B7">
        <w:rPr>
          <w:b/>
          <w:bCs/>
          <w:color w:val="000000"/>
        </w:rPr>
        <w:t>Hemşirelik Hizmetlerinin Yönetimi ve Organizasyonu</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t>Başhemşire</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t>MADDE 9 –</w:t>
      </w:r>
      <w:r w:rsidRPr="008855B7">
        <w:rPr>
          <w:rStyle w:val="apple-converted-space"/>
          <w:color w:val="000000"/>
        </w:rPr>
        <w:t> </w:t>
      </w:r>
      <w:r w:rsidRPr="008855B7">
        <w:rPr>
          <w:color w:val="000000"/>
        </w:rPr>
        <w:t>(1) Başhemşire olabilmek için hemşirelikte en az lisans eğitimine sahip olmak gerekir. Ancak kurum/kuruluşta, hemşirelikte lisans eğitimine sahip hemşire bulunmaması halinde diğer hemşirelerden de görevlendirme yapılabilir.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(2) Başhemşire bağlı olduğu kurum/kuruluş üst amirine karşı sorumlu olarak:</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a) Hemşirelik hizmetlerinin planlanmasını, yürütülmesini, değerlendirilmesini, geliştirilmesini ve kayıt altına alınmasını sağlar.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b) Hemşirelik hizmetleri organizasyonu doğrultusunda görevli hemşirelerin mevzuata ve meslek ilkelerine uygun olarak görev yapmalarından, hemşirelik hizmetlerinin etkin ve verimli sunumundan sorumludur. İstenmeyen olaylar ve hatalı hemşirelik uygulamalarını önleyici tedbirleri alır, meydana gelen menfi olayların kaydının tutulmasını ve bildirilmesini sağlar.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c) Hemşirelik hizmetlerinde istihdam edilen personeli ilgili birimlere görevlendirir ve göreve uyumunu sağlar. Hizmet birimlerinde görevlendirilecek hemşirelerin sayısını ve niteliğini belirler.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ç) Hemşirelik hizmetleri ile ilgili tüm kayıt sistemlerinin ve Ek-1’deki formların geliştirilmesini ve düzenli olarak kullanılmasını sağlar.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d) Hemşirelerin bilgi ve deneyimlerini göz önünde bulundurarak görev dağılımlarının ve çalışma çizelgelerinin yapılmasını, izlenmesini sağlar ve onaylar. Göreve yeni başlayan hemşireler için uyum eğitimi, görevdeki hemşireler için hizmet içi eğitim programlarının planlanması, uygulanması ve değerlendirilmesini sağlar.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e) Öğrenci hemşirelerin eğitimi için uygun çalışma ortamını oluşturur, öğretim elemanları ile işbirliği yaparak okul-hastane işbirliğini sağlar.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f) Hemşirelerin mesleki gelişimleri için sürekli eğitimlerini destekler.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g) Hemşirelik hizmetlerinin geliştirilmesi için yapılacak bilimsel araştırma faaliyetlerine destek olur. Hemşirelik hizmetleri bütçesinin planlanmasında yer alır.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h) Hemşirelik hizmetlerine ilişkin stratejik çalışma planlarını yapar ve uygulanmasını sağlar.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ı) Hastane ve sağlık kurumlarının ilgili yöneticileriyle işbirliği yapar.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i) Olağanüstü durumlarda afet planları doğrultusunda ilgili birimlerle işbirliği içinde, acil durum planlamaları yapar, protokol geliştirir ve/veya geliştirilmesini sağlar ve gerekli durumlarda uygulamaya koymak üzere ekibini hazırlar.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j) Komite, konsey, yönetim kurulu toplantılarına üye olarak katılır.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 xml:space="preserve">(3) Gözetmen hemşire: Başhemşirenin görevleri normal mesai dışında ve resmi tatil günlerinde gözetmen hemşire tarafından yürütülür. Bu hemşireler meslekte beş yıl deneyimli, </w:t>
      </w:r>
      <w:r w:rsidRPr="008855B7">
        <w:rPr>
          <w:color w:val="000000"/>
        </w:rPr>
        <w:lastRenderedPageBreak/>
        <w:t>lisans mezunu hemşireler arasından başhemşire tarafından seçilir ve görevlendirilir. Ancak, kurum/kuruluşta, hemşirelikte lisans eğitimine sahip hemşire bulunmaması halinde diğer hemşirelerden de görevlendirme yapılabilir.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t>Sorumlu hemşire</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t>MADDE 10 –</w:t>
      </w:r>
      <w:r w:rsidRPr="008855B7">
        <w:rPr>
          <w:rStyle w:val="apple-converted-space"/>
          <w:color w:val="000000"/>
        </w:rPr>
        <w:t> </w:t>
      </w:r>
      <w:r w:rsidRPr="008855B7">
        <w:rPr>
          <w:color w:val="000000"/>
        </w:rPr>
        <w:t>(1) Sorumlu hemşire yatan hasta üniteleri/klinikleri, yoğun bakım üniteleri, ayaktan tanı ve tedavi birimleri, acil, evde bakım gibi alanlarda hemşirelik hizmetlerinin yerine getirilmesinde başhemşireye karşı sorumlu olup, öncelikle ilgili alanda uzman hemşireler, yoksa üç yıl deneyimli ve hemşirelikte lisans mezunları arasından başhemşire tarafından görevlendirilir. Ancak, kurum/kuruluşta, hemşirelikte lisans eğitimine sahip hemşire bulunmaması halinde diğer hemşirelerden de görevlendirme yapılabilir. Sorumlu hemşire görevlendirildiği alanda öncelikle gündüz mesai saatlerinde görev yapar.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(2) Sorumlu hemşire, servis ve ünitedeki hastaların bakım gereksinimlerinin hemşirelik süreci doğrultusunda belirlenmesine ve karşılanmasına yönelik hemşirelik hizmetlerinin yürütülmesinden sorumludur.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(3) Sorumlu hemşire;</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 xml:space="preserve">a) Servis/üniteye yeni başlayan hemşirelerin uyumunu sağlar. Hemşirelerinin mesleki gelişimlerinde, hasta bakımında rehberlik ve danışmanlık yapar, iş doyumu ve </w:t>
      </w:r>
      <w:proofErr w:type="gramStart"/>
      <w:r w:rsidRPr="008855B7">
        <w:rPr>
          <w:color w:val="000000"/>
        </w:rPr>
        <w:t>motivasyonu</w:t>
      </w:r>
      <w:proofErr w:type="gramEnd"/>
      <w:r w:rsidRPr="008855B7">
        <w:rPr>
          <w:color w:val="000000"/>
        </w:rPr>
        <w:t xml:space="preserve"> yükseltici düzenlemeler yapar. Eğitim hemşiresi ile işbirliği yaparak hemşirelerin eğitim gereksinimlerine yönelik önerilerde bulunur. Hizmet içi eğitim programlarına katılır ve ünite/servis hemşirelerinin katılmalarını sağlar.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b) Hastaların tedavi planlarının güvenli bir şekilde uygulanmasını, eczane tarafından kliniğe gönderilen ilaçların güvenli bir şekilde kullanımını ve korunmasını sağlar.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c) Hastanın muayene ve tedavi girişimleri sırasında ilgili hemşirelik işlevlerinin yerine getirilmesini sağlar.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ç) Kurum politikaları doğrultusunda hemşirelerin gelişimi için performans değerlendirmelerini yapar, geri bildirimde bulunur.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d) Kendisine bağlı hemşirelerin özlük işleri ve hakları ile ilgili konularda servis/ünite içinde gerekli düzenlemeleri sağlar.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e) Hemşirelerin çalışma çizelgelerini ve izinlerini düzenler, başhemşirenin onayına sunar.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f) Servis/ünitenin fiziksel yapısı ve donanımı konusunda yönetime önerilerde bulunur.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g) Hastaları bakım gereksinimlerine göre sınıflayarak uygun oda ve yatak ayırımını yapar.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h) İlgili birimlerle koordinasyonu sağlar.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 xml:space="preserve">ı) Hasta ile ilgili </w:t>
      </w:r>
      <w:proofErr w:type="spellStart"/>
      <w:r w:rsidRPr="008855B7">
        <w:rPr>
          <w:color w:val="000000"/>
        </w:rPr>
        <w:t>vizit</w:t>
      </w:r>
      <w:proofErr w:type="spellEnd"/>
      <w:r w:rsidRPr="008855B7">
        <w:rPr>
          <w:color w:val="000000"/>
        </w:rPr>
        <w:t>, kurul ve konseylere katılarak bilgi alışverişinde bulunur.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i) Öğrenci hemşirelerin eğitiminde uygun eğitim ortamını sağlar.</w:t>
      </w:r>
    </w:p>
    <w:p w:rsidR="00E5217E" w:rsidRDefault="00E5217E" w:rsidP="002D7D98">
      <w:pPr>
        <w:pStyle w:val="NormalWeb"/>
        <w:shd w:val="clear" w:color="auto" w:fill="FFFFFF"/>
        <w:spacing w:before="150" w:beforeAutospacing="0" w:after="225" w:afterAutospacing="0" w:line="243" w:lineRule="atLeast"/>
        <w:jc w:val="center"/>
        <w:rPr>
          <w:b/>
          <w:bCs/>
          <w:color w:val="000000"/>
        </w:rPr>
      </w:pPr>
    </w:p>
    <w:p w:rsidR="00E5217E" w:rsidRDefault="00E5217E" w:rsidP="002D7D98">
      <w:pPr>
        <w:pStyle w:val="NormalWeb"/>
        <w:shd w:val="clear" w:color="auto" w:fill="FFFFFF"/>
        <w:spacing w:before="150" w:beforeAutospacing="0" w:after="225" w:afterAutospacing="0" w:line="243" w:lineRule="atLeast"/>
        <w:jc w:val="center"/>
        <w:rPr>
          <w:b/>
          <w:bCs/>
          <w:color w:val="000000"/>
        </w:rPr>
      </w:pPr>
    </w:p>
    <w:p w:rsidR="002D7D98" w:rsidRPr="008855B7" w:rsidRDefault="002D7D98" w:rsidP="002D7D98">
      <w:pPr>
        <w:pStyle w:val="NormalWeb"/>
        <w:shd w:val="clear" w:color="auto" w:fill="FFFFFF"/>
        <w:spacing w:before="150" w:beforeAutospacing="0" w:after="225" w:afterAutospacing="0" w:line="243" w:lineRule="atLeast"/>
        <w:jc w:val="center"/>
        <w:rPr>
          <w:color w:val="000000"/>
        </w:rPr>
      </w:pPr>
      <w:r w:rsidRPr="008855B7">
        <w:rPr>
          <w:b/>
          <w:bCs/>
          <w:color w:val="000000"/>
        </w:rPr>
        <w:lastRenderedPageBreak/>
        <w:t>BEŞİNCİ BÖLÜM</w:t>
      </w:r>
    </w:p>
    <w:p w:rsidR="002D7D98" w:rsidRPr="008855B7" w:rsidRDefault="002D7D98" w:rsidP="002D7D98">
      <w:pPr>
        <w:pStyle w:val="NormalWeb"/>
        <w:shd w:val="clear" w:color="auto" w:fill="FFFFFF"/>
        <w:spacing w:before="150" w:beforeAutospacing="0" w:after="225" w:afterAutospacing="0" w:line="243" w:lineRule="atLeast"/>
        <w:jc w:val="center"/>
        <w:rPr>
          <w:color w:val="000000"/>
        </w:rPr>
      </w:pPr>
      <w:r w:rsidRPr="008855B7">
        <w:rPr>
          <w:b/>
          <w:bCs/>
          <w:color w:val="000000"/>
        </w:rPr>
        <w:t>Son Hükümler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t>Düzenleme yetkisi</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t>MADDE 11 –</w:t>
      </w:r>
      <w:r w:rsidRPr="008855B7">
        <w:rPr>
          <w:rStyle w:val="apple-converted-space"/>
          <w:color w:val="000000"/>
        </w:rPr>
        <w:t> </w:t>
      </w:r>
      <w:r w:rsidRPr="008855B7">
        <w:rPr>
          <w:color w:val="000000"/>
        </w:rPr>
        <w:t>(1) Bakanlık, bu Yönetmeliğin uygulanmasını sağlamak üzere her türlü alt düzenlemeyi yapmaya yetkilidir.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t>Yürürlük</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t>MADDE 12 –</w:t>
      </w:r>
      <w:r w:rsidRPr="008855B7">
        <w:rPr>
          <w:rStyle w:val="apple-converted-space"/>
          <w:color w:val="000000"/>
        </w:rPr>
        <w:t> </w:t>
      </w:r>
      <w:r w:rsidRPr="008855B7">
        <w:rPr>
          <w:color w:val="000000"/>
        </w:rPr>
        <w:t>(1) Bu Yönetmelik yayımı tarihinde yürürlüğe girer.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t>Yürütme</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b/>
          <w:bCs/>
          <w:color w:val="000000"/>
        </w:rPr>
        <w:t>MADDE 13 –</w:t>
      </w:r>
      <w:r w:rsidRPr="008855B7">
        <w:rPr>
          <w:rStyle w:val="apple-converted-space"/>
          <w:color w:val="000000"/>
        </w:rPr>
        <w:t> </w:t>
      </w:r>
      <w:r w:rsidRPr="008855B7">
        <w:rPr>
          <w:color w:val="000000"/>
        </w:rPr>
        <w:t>(1) Bu Yönetmelik hükümlerini Sağlık Bakanı yürütür.</w:t>
      </w:r>
    </w:p>
    <w:p w:rsidR="002D7D98" w:rsidRPr="008855B7" w:rsidRDefault="002D7D98" w:rsidP="002D7D98">
      <w:pPr>
        <w:pStyle w:val="NormalWeb"/>
        <w:shd w:val="clear" w:color="auto" w:fill="FFFFFF"/>
        <w:spacing w:before="150" w:beforeAutospacing="0" w:after="225" w:afterAutospacing="0" w:line="243" w:lineRule="atLeast"/>
        <w:rPr>
          <w:color w:val="000000"/>
        </w:rPr>
      </w:pPr>
      <w:r w:rsidRPr="008855B7">
        <w:rPr>
          <w:color w:val="000000"/>
        </w:rPr>
        <w:t> </w:t>
      </w:r>
    </w:p>
    <w:p w:rsidR="00E4311F" w:rsidRPr="008855B7" w:rsidRDefault="00E5217E">
      <w:pPr>
        <w:rPr>
          <w:rFonts w:ascii="Times New Roman" w:hAnsi="Times New Roman" w:cs="Times New Roman"/>
          <w:sz w:val="24"/>
          <w:szCs w:val="24"/>
        </w:rPr>
      </w:pPr>
    </w:p>
    <w:sectPr w:rsidR="00E4311F" w:rsidRPr="008855B7" w:rsidSect="00BB126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7D98"/>
    <w:rsid w:val="00030942"/>
    <w:rsid w:val="000319EA"/>
    <w:rsid w:val="000B1BEA"/>
    <w:rsid w:val="001E2260"/>
    <w:rsid w:val="002D7D98"/>
    <w:rsid w:val="003302DF"/>
    <w:rsid w:val="00357701"/>
    <w:rsid w:val="00422525"/>
    <w:rsid w:val="004376E3"/>
    <w:rsid w:val="004536AD"/>
    <w:rsid w:val="00597035"/>
    <w:rsid w:val="005B0EF7"/>
    <w:rsid w:val="0061258C"/>
    <w:rsid w:val="006B2734"/>
    <w:rsid w:val="006B7AC4"/>
    <w:rsid w:val="006F60E9"/>
    <w:rsid w:val="00746651"/>
    <w:rsid w:val="00765460"/>
    <w:rsid w:val="008247C3"/>
    <w:rsid w:val="008855B7"/>
    <w:rsid w:val="008B4150"/>
    <w:rsid w:val="008C5616"/>
    <w:rsid w:val="00923F94"/>
    <w:rsid w:val="0097590C"/>
    <w:rsid w:val="00B32293"/>
    <w:rsid w:val="00B42F71"/>
    <w:rsid w:val="00B53BD3"/>
    <w:rsid w:val="00B76E49"/>
    <w:rsid w:val="00BB1265"/>
    <w:rsid w:val="00C55C39"/>
    <w:rsid w:val="00CC7EAA"/>
    <w:rsid w:val="00CD55B2"/>
    <w:rsid w:val="00D10164"/>
    <w:rsid w:val="00D762C6"/>
    <w:rsid w:val="00DD44FB"/>
    <w:rsid w:val="00DE6AF2"/>
    <w:rsid w:val="00E5217E"/>
    <w:rsid w:val="00EB4E51"/>
    <w:rsid w:val="00F51DD8"/>
    <w:rsid w:val="00FB64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2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D7D9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2D7D98"/>
  </w:style>
</w:styles>
</file>

<file path=word/webSettings.xml><?xml version="1.0" encoding="utf-8"?>
<w:webSettings xmlns:r="http://schemas.openxmlformats.org/officeDocument/2006/relationships" xmlns:w="http://schemas.openxmlformats.org/wordprocessingml/2006/main">
  <w:divs>
    <w:div w:id="127055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1832</Words>
  <Characters>10447</Characters>
  <Application>Microsoft Office Word</Application>
  <DocSecurity>0</DocSecurity>
  <Lines>87</Lines>
  <Paragraphs>24</Paragraphs>
  <ScaleCrop>false</ScaleCrop>
  <Company>Atatürk Üniversitesi</Company>
  <LinksUpToDate>false</LinksUpToDate>
  <CharactersWithSpaces>12255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mk</cp:lastModifiedBy>
  <cp:revision>4</cp:revision>
  <dcterms:created xsi:type="dcterms:W3CDTF">2014-11-10T08:47:00Z</dcterms:created>
  <dcterms:modified xsi:type="dcterms:W3CDTF">2014-11-11T14:37:00Z</dcterms:modified>
</cp:coreProperties>
</file>