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76" w:rsidRPr="004A4776" w:rsidRDefault="004A4776" w:rsidP="004A47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4776">
        <w:rPr>
          <w:rFonts w:ascii="Times New Roman" w:hAnsi="Times New Roman" w:cs="Times New Roman"/>
          <w:b/>
          <w:bCs/>
          <w:sz w:val="24"/>
          <w:szCs w:val="24"/>
        </w:rPr>
        <w:t xml:space="preserve">2025-2026 EĞİTİM ÖĞRETİM YILI </w:t>
      </w:r>
      <w:r w:rsidR="008A7C95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Pr="004A4776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:rsidR="004A4776" w:rsidRDefault="004A4776" w:rsidP="004A47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4776">
        <w:rPr>
          <w:rFonts w:ascii="Times New Roman" w:hAnsi="Times New Roman" w:cs="Times New Roman"/>
          <w:b/>
          <w:bCs/>
          <w:sz w:val="24"/>
          <w:szCs w:val="24"/>
        </w:rPr>
        <w:t>ÜNİVERSİTE SEÇMELİ DERS SINAV TAKVİMİ VE UYGULAMA İLKELERİ</w:t>
      </w:r>
    </w:p>
    <w:p w:rsidR="004A4776" w:rsidRPr="004A4776" w:rsidRDefault="004A4776" w:rsidP="004A47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4776" w:rsidRDefault="004A4776" w:rsidP="004A47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76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Pr="004A4776">
        <w:rPr>
          <w:rFonts w:ascii="Times New Roman" w:hAnsi="Times New Roman" w:cs="Times New Roman"/>
          <w:sz w:val="24"/>
          <w:szCs w:val="24"/>
        </w:rPr>
        <w:t> Sınavların planlanması, yürütülmesi ve koordinasyonu Üniversite Seçmeli Dersi açan Dekanlık/Müdürlük gözetiminde gerçekleştirilir. Sınavlar ile ilgili salon tahsisi ve görevlendirmeler (gözetmen) sınavın yapılacağı birim tarafından yapılır.</w:t>
      </w:r>
    </w:p>
    <w:p w:rsidR="004A4776" w:rsidRPr="004A4776" w:rsidRDefault="004A4776" w:rsidP="004A47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76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Pr="004A4776">
        <w:rPr>
          <w:rFonts w:ascii="Times New Roman" w:hAnsi="Times New Roman" w:cs="Times New Roman"/>
          <w:sz w:val="24"/>
          <w:szCs w:val="24"/>
        </w:rPr>
        <w:t> Sınavlar gözetmen nezaretinde ve yüz yüze yapılır. Ara sınavlar için yüz yüze sınav ve/veya performans değerlendirme yöntemlerinin hangisinin kullanılacağına dersi veren öğretim elemanı tarafından karar verilir, yazılı sınav yapılması durumunda sınavlar yüz yüze yapılır.</w:t>
      </w:r>
    </w:p>
    <w:p w:rsidR="004A4776" w:rsidRPr="004A4776" w:rsidRDefault="004A4776" w:rsidP="004A47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76"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Pr="004A4776">
        <w:rPr>
          <w:rFonts w:ascii="Times New Roman" w:hAnsi="Times New Roman" w:cs="Times New Roman"/>
          <w:sz w:val="24"/>
          <w:szCs w:val="24"/>
        </w:rPr>
        <w:t> Dersi alan öğrenciler;</w:t>
      </w:r>
    </w:p>
    <w:p w:rsidR="004A4776" w:rsidRPr="004A4776" w:rsidRDefault="004A4776" w:rsidP="004A47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76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4A4776">
        <w:rPr>
          <w:rFonts w:ascii="Times New Roman" w:hAnsi="Times New Roman" w:cs="Times New Roman"/>
          <w:sz w:val="24"/>
          <w:szCs w:val="24"/>
        </w:rPr>
        <w:t> Dersin açıldığı birimin bulunduğu yerleşkede (aynı yerleşke içinde) ise bu öğrenciler, sınavın yapılacağı ilan edilen birimde ve salonda sınava girerler (</w:t>
      </w:r>
      <w:r w:rsidRPr="004A4776">
        <w:rPr>
          <w:rFonts w:ascii="Times New Roman" w:hAnsi="Times New Roman" w:cs="Times New Roman"/>
          <w:i/>
          <w:iCs/>
          <w:sz w:val="24"/>
          <w:szCs w:val="24"/>
        </w:rPr>
        <w:t>ör</w:t>
      </w:r>
      <w:r w:rsidRPr="004A4776">
        <w:rPr>
          <w:rFonts w:ascii="Times New Roman" w:hAnsi="Times New Roman" w:cs="Times New Roman"/>
          <w:sz w:val="24"/>
          <w:szCs w:val="24"/>
        </w:rPr>
        <w:t>. Ders İletişim Fakültesi Dekanlığı tarafından açılmış, dersi alan öğrenci İlahiyat Fakültesi öğrencisi ise bu öğrenci sınava İletişim Fakültesi Dekanlığı tarafından belirlenen binada ve salonda sınava</w:t>
      </w:r>
      <w:r w:rsidR="00817404">
        <w:rPr>
          <w:rFonts w:ascii="Times New Roman" w:hAnsi="Times New Roman" w:cs="Times New Roman"/>
          <w:sz w:val="24"/>
          <w:szCs w:val="24"/>
        </w:rPr>
        <w:t xml:space="preserve"> girer.</w:t>
      </w:r>
      <w:r w:rsidRPr="004A4776">
        <w:rPr>
          <w:rFonts w:ascii="Times New Roman" w:hAnsi="Times New Roman" w:cs="Times New Roman"/>
          <w:sz w:val="24"/>
          <w:szCs w:val="24"/>
        </w:rPr>
        <w:t>)</w:t>
      </w:r>
    </w:p>
    <w:p w:rsidR="004A4776" w:rsidRPr="004A4776" w:rsidRDefault="004A4776" w:rsidP="004A47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76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4A4776">
        <w:rPr>
          <w:rFonts w:ascii="Times New Roman" w:hAnsi="Times New Roman" w:cs="Times New Roman"/>
          <w:sz w:val="24"/>
          <w:szCs w:val="24"/>
        </w:rPr>
        <w:t> Dersin açıldığı birimin bulunduğu yerleşkenin dışındaki bir birimin öğrencisi ise;</w:t>
      </w:r>
    </w:p>
    <w:p w:rsidR="004A4776" w:rsidRPr="004A4776" w:rsidRDefault="004A4776" w:rsidP="004A4776">
      <w:pPr>
        <w:ind w:left="851" w:firstLine="2"/>
        <w:jc w:val="both"/>
        <w:rPr>
          <w:rFonts w:ascii="Times New Roman" w:hAnsi="Times New Roman" w:cs="Times New Roman"/>
          <w:sz w:val="24"/>
          <w:szCs w:val="24"/>
        </w:rPr>
      </w:pPr>
      <w:r w:rsidRPr="004A4776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Pr="004A4776">
        <w:rPr>
          <w:rFonts w:ascii="Times New Roman" w:hAnsi="Times New Roman" w:cs="Times New Roman"/>
          <w:sz w:val="24"/>
          <w:szCs w:val="24"/>
        </w:rPr>
        <w:t> Bu öğrencilerin sınavları, öğrencilerin kayıtlı olduğu birim yöneticisinin (</w:t>
      </w:r>
      <w:r w:rsidR="00F43849">
        <w:rPr>
          <w:rFonts w:ascii="Times New Roman" w:hAnsi="Times New Roman" w:cs="Times New Roman"/>
          <w:sz w:val="24"/>
          <w:szCs w:val="24"/>
        </w:rPr>
        <w:t>D</w:t>
      </w:r>
      <w:r w:rsidRPr="004A4776">
        <w:rPr>
          <w:rFonts w:ascii="Times New Roman" w:hAnsi="Times New Roman" w:cs="Times New Roman"/>
          <w:sz w:val="24"/>
          <w:szCs w:val="24"/>
        </w:rPr>
        <w:t>ekan/</w:t>
      </w:r>
      <w:r w:rsidR="00F43849">
        <w:rPr>
          <w:rFonts w:ascii="Times New Roman" w:hAnsi="Times New Roman" w:cs="Times New Roman"/>
          <w:sz w:val="24"/>
          <w:szCs w:val="24"/>
        </w:rPr>
        <w:t>M</w:t>
      </w:r>
      <w:r w:rsidRPr="004A4776">
        <w:rPr>
          <w:rFonts w:ascii="Times New Roman" w:hAnsi="Times New Roman" w:cs="Times New Roman"/>
          <w:sz w:val="24"/>
          <w:szCs w:val="24"/>
        </w:rPr>
        <w:t>üdür) gözetiminde planlanarak yürütülür</w:t>
      </w:r>
      <w:r w:rsidR="00F43849">
        <w:rPr>
          <w:rFonts w:ascii="Times New Roman" w:hAnsi="Times New Roman" w:cs="Times New Roman"/>
          <w:sz w:val="24"/>
          <w:szCs w:val="24"/>
        </w:rPr>
        <w:t xml:space="preserve">. </w:t>
      </w:r>
      <w:r w:rsidRPr="004A4776">
        <w:rPr>
          <w:rFonts w:ascii="Times New Roman" w:hAnsi="Times New Roman" w:cs="Times New Roman"/>
          <w:sz w:val="24"/>
          <w:szCs w:val="24"/>
        </w:rPr>
        <w:t>(</w:t>
      </w:r>
      <w:r w:rsidR="00FD3656" w:rsidRPr="00FD3656">
        <w:rPr>
          <w:rFonts w:ascii="Times New Roman" w:hAnsi="Times New Roman" w:cs="Times New Roman"/>
          <w:iCs/>
          <w:sz w:val="24"/>
          <w:szCs w:val="24"/>
        </w:rPr>
        <w:t>Ör.</w:t>
      </w:r>
      <w:r w:rsidRPr="004A4776">
        <w:rPr>
          <w:rFonts w:ascii="Times New Roman" w:hAnsi="Times New Roman" w:cs="Times New Roman"/>
          <w:sz w:val="24"/>
          <w:szCs w:val="24"/>
        </w:rPr>
        <w:t xml:space="preserve"> Ders Ziraat Fakültesi Dekanlığı tarafından açılmış, dersi alan öğrenci Hınıs Meslek Yüksekokulu Müdürlüğü öğrencisi ise bu öğrenci sınava kayıtlı olduğu Hınıs Meslek Yüksekokulu Müdürlüğü tarafından belirlenen binada ve salonda</w:t>
      </w:r>
      <w:r w:rsidR="00F43849">
        <w:rPr>
          <w:rFonts w:ascii="Times New Roman" w:hAnsi="Times New Roman" w:cs="Times New Roman"/>
          <w:sz w:val="24"/>
          <w:szCs w:val="24"/>
        </w:rPr>
        <w:t xml:space="preserve"> sınava girer.</w:t>
      </w:r>
      <w:r w:rsidRPr="004A4776">
        <w:rPr>
          <w:rFonts w:ascii="Times New Roman" w:hAnsi="Times New Roman" w:cs="Times New Roman"/>
          <w:sz w:val="24"/>
          <w:szCs w:val="24"/>
        </w:rPr>
        <w:t>)</w:t>
      </w:r>
    </w:p>
    <w:p w:rsidR="004A4776" w:rsidRPr="004A4776" w:rsidRDefault="004A4776" w:rsidP="004A4776">
      <w:pPr>
        <w:ind w:left="851" w:firstLine="2"/>
        <w:jc w:val="both"/>
        <w:rPr>
          <w:rFonts w:ascii="Times New Roman" w:hAnsi="Times New Roman" w:cs="Times New Roman"/>
          <w:sz w:val="24"/>
          <w:szCs w:val="24"/>
        </w:rPr>
      </w:pPr>
      <w:r w:rsidRPr="004A4776">
        <w:rPr>
          <w:rFonts w:ascii="Times New Roman" w:hAnsi="Times New Roman" w:cs="Times New Roman"/>
          <w:b/>
          <w:bCs/>
          <w:sz w:val="24"/>
          <w:szCs w:val="24"/>
        </w:rPr>
        <w:t>II)</w:t>
      </w:r>
      <w:r w:rsidRPr="004A4776">
        <w:rPr>
          <w:rFonts w:ascii="Times New Roman" w:hAnsi="Times New Roman" w:cs="Times New Roman"/>
          <w:sz w:val="24"/>
          <w:szCs w:val="24"/>
        </w:rPr>
        <w:t xml:space="preserve"> Bu durumdaki öğrenciler, sınav öncesinde Üniversite Seçmeli Dersini yürüten öğretim elemanı tarafından </w:t>
      </w:r>
      <w:r w:rsidR="00FD3656">
        <w:rPr>
          <w:rFonts w:ascii="Times New Roman" w:hAnsi="Times New Roman" w:cs="Times New Roman"/>
          <w:sz w:val="24"/>
          <w:szCs w:val="24"/>
        </w:rPr>
        <w:t xml:space="preserve">Öğrenci Bilgi Sisteminde (ÖBS) </w:t>
      </w:r>
      <w:r w:rsidRPr="004A4776">
        <w:rPr>
          <w:rFonts w:ascii="Times New Roman" w:hAnsi="Times New Roman" w:cs="Times New Roman"/>
          <w:sz w:val="24"/>
          <w:szCs w:val="24"/>
        </w:rPr>
        <w:t>tespit edilir ve kayıtlı oldukları birimler</w:t>
      </w:r>
      <w:r w:rsidR="006126EE">
        <w:rPr>
          <w:rFonts w:ascii="Times New Roman" w:hAnsi="Times New Roman" w:cs="Times New Roman"/>
          <w:sz w:val="24"/>
          <w:szCs w:val="24"/>
        </w:rPr>
        <w:t xml:space="preserve"> bilgilendirilir.</w:t>
      </w:r>
    </w:p>
    <w:p w:rsidR="004A4776" w:rsidRPr="004A4776" w:rsidRDefault="006126EE" w:rsidP="006126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4-</w:t>
      </w:r>
      <w:r w:rsidR="004A4776" w:rsidRPr="004A477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Üniversite Seçmeli Derslere ait </w:t>
      </w:r>
      <w:r w:rsidR="004A4776" w:rsidRPr="004A4776">
        <w:rPr>
          <w:rFonts w:ascii="Times New Roman" w:hAnsi="Times New Roman" w:cs="Times New Roman"/>
          <w:sz w:val="24"/>
          <w:szCs w:val="24"/>
        </w:rPr>
        <w:t xml:space="preserve">sınav soru ve cevapları ile ilgili süreçler </w:t>
      </w:r>
      <w:r>
        <w:rPr>
          <w:rFonts w:ascii="Times New Roman" w:hAnsi="Times New Roman" w:cs="Times New Roman"/>
          <w:sz w:val="24"/>
          <w:szCs w:val="24"/>
        </w:rPr>
        <w:t>05.</w:t>
      </w:r>
      <w:r w:rsidR="004A4776" w:rsidRPr="004A4776">
        <w:rPr>
          <w:rFonts w:ascii="Times New Roman" w:hAnsi="Times New Roman" w:cs="Times New Roman"/>
          <w:sz w:val="24"/>
          <w:szCs w:val="24"/>
        </w:rPr>
        <w:t>06.2025 tarih ve E.2500183842 sayılı yazı ekinde gönderilen ve ekte yer alan kılavuza göre yürütülecektir.</w:t>
      </w:r>
    </w:p>
    <w:p w:rsidR="004A4776" w:rsidRPr="004A4776" w:rsidRDefault="006126EE" w:rsidP="004A47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A4776" w:rsidRPr="004A477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A4776" w:rsidRPr="004A4776">
        <w:rPr>
          <w:rFonts w:ascii="Times New Roman" w:hAnsi="Times New Roman" w:cs="Times New Roman"/>
          <w:sz w:val="24"/>
          <w:szCs w:val="24"/>
        </w:rPr>
        <w:t> Üniversite Seçmeli Ders sınavları aşağıdaki takvime göre yapılır.</w:t>
      </w:r>
    </w:p>
    <w:tbl>
      <w:tblPr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2970"/>
        <w:gridCol w:w="952"/>
        <w:gridCol w:w="1514"/>
        <w:gridCol w:w="1120"/>
      </w:tblGrid>
      <w:tr w:rsidR="004A4776" w:rsidRPr="004A4776" w:rsidTr="00FD3656">
        <w:trPr>
          <w:trHeight w:val="324"/>
        </w:trPr>
        <w:tc>
          <w:tcPr>
            <w:tcW w:w="26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</w:t>
            </w:r>
          </w:p>
        </w:tc>
        <w:tc>
          <w:tcPr>
            <w:tcW w:w="29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95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</w:t>
            </w:r>
          </w:p>
        </w:tc>
        <w:tc>
          <w:tcPr>
            <w:tcW w:w="151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</w:t>
            </w:r>
          </w:p>
        </w:tc>
        <w:tc>
          <w:tcPr>
            <w:tcW w:w="11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Saati</w:t>
            </w:r>
          </w:p>
        </w:tc>
      </w:tr>
      <w:tr w:rsidR="004A4776" w:rsidRPr="004A4776" w:rsidTr="00FD3656">
        <w:trPr>
          <w:trHeight w:val="111"/>
        </w:trPr>
        <w:tc>
          <w:tcPr>
            <w:tcW w:w="269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Ara (Vize) Sınav</w:t>
            </w:r>
          </w:p>
        </w:tc>
        <w:tc>
          <w:tcPr>
            <w:tcW w:w="297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E72837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bookmarkStart w:id="0" w:name="_GoBack"/>
            <w:bookmarkEnd w:id="0"/>
            <w:r w:rsidR="004A4776" w:rsidRPr="004A4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656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="004A4776" w:rsidRPr="004A477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D36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4776" w:rsidRPr="004A4776">
              <w:rPr>
                <w:rFonts w:ascii="Times New Roman" w:hAnsi="Times New Roman" w:cs="Times New Roman"/>
                <w:sz w:val="24"/>
                <w:szCs w:val="24"/>
              </w:rPr>
              <w:t xml:space="preserve"> Perşembe</w:t>
            </w:r>
          </w:p>
        </w:tc>
        <w:tc>
          <w:tcPr>
            <w:tcW w:w="95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ÜSD</w:t>
            </w:r>
          </w:p>
        </w:tc>
        <w:tc>
          <w:tcPr>
            <w:tcW w:w="151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A Grubu</w:t>
            </w:r>
          </w:p>
        </w:tc>
        <w:tc>
          <w:tcPr>
            <w:tcW w:w="11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A4776" w:rsidRPr="004A4776" w:rsidTr="00FD3656">
        <w:trPr>
          <w:trHeight w:val="102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B Grubu</w:t>
            </w:r>
          </w:p>
        </w:tc>
        <w:tc>
          <w:tcPr>
            <w:tcW w:w="11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A4776" w:rsidRPr="004A4776" w:rsidTr="00FD3656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C Grubu</w:t>
            </w:r>
          </w:p>
        </w:tc>
        <w:tc>
          <w:tcPr>
            <w:tcW w:w="11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A4776" w:rsidRPr="004A4776" w:rsidTr="00FD3656">
        <w:trPr>
          <w:trHeight w:val="20"/>
        </w:trPr>
        <w:tc>
          <w:tcPr>
            <w:tcW w:w="269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Yarıyıl Sonu (Final) Sınavı</w:t>
            </w:r>
          </w:p>
        </w:tc>
        <w:tc>
          <w:tcPr>
            <w:tcW w:w="297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FD365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Haziran</w:t>
            </w:r>
            <w:r w:rsidR="004A4776" w:rsidRPr="004A4776">
              <w:rPr>
                <w:rFonts w:ascii="Times New Roman" w:hAnsi="Times New Roman" w:cs="Times New Roman"/>
                <w:sz w:val="24"/>
                <w:szCs w:val="24"/>
              </w:rPr>
              <w:t xml:space="preserve"> 2026 Perşembe</w:t>
            </w:r>
          </w:p>
        </w:tc>
        <w:tc>
          <w:tcPr>
            <w:tcW w:w="95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ÜSD</w:t>
            </w:r>
          </w:p>
        </w:tc>
        <w:tc>
          <w:tcPr>
            <w:tcW w:w="151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A Grubu</w:t>
            </w:r>
          </w:p>
        </w:tc>
        <w:tc>
          <w:tcPr>
            <w:tcW w:w="11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</w:tr>
      <w:tr w:rsidR="004A4776" w:rsidRPr="004A4776" w:rsidTr="00FD3656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B Grubu</w:t>
            </w:r>
          </w:p>
        </w:tc>
        <w:tc>
          <w:tcPr>
            <w:tcW w:w="11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A4776" w:rsidRPr="004A4776" w:rsidTr="00FD3656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C Grubu</w:t>
            </w:r>
          </w:p>
        </w:tc>
        <w:tc>
          <w:tcPr>
            <w:tcW w:w="11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4A4776" w:rsidRPr="004A4776" w:rsidTr="00FD3656">
        <w:trPr>
          <w:trHeight w:val="63"/>
        </w:trPr>
        <w:tc>
          <w:tcPr>
            <w:tcW w:w="269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Bütünleme Sınavı</w:t>
            </w:r>
          </w:p>
        </w:tc>
        <w:tc>
          <w:tcPr>
            <w:tcW w:w="297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FD365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A4776" w:rsidRPr="004A4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Haziran</w:t>
            </w:r>
            <w:r w:rsidR="004A4776" w:rsidRPr="004A4776">
              <w:rPr>
                <w:rFonts w:ascii="Times New Roman" w:hAnsi="Times New Roman" w:cs="Times New Roman"/>
                <w:sz w:val="24"/>
                <w:szCs w:val="24"/>
              </w:rPr>
              <w:t xml:space="preserve"> 2026 Perşembe</w:t>
            </w:r>
          </w:p>
        </w:tc>
        <w:tc>
          <w:tcPr>
            <w:tcW w:w="95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ÜSD</w:t>
            </w:r>
          </w:p>
        </w:tc>
        <w:tc>
          <w:tcPr>
            <w:tcW w:w="151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A Grubu</w:t>
            </w:r>
          </w:p>
        </w:tc>
        <w:tc>
          <w:tcPr>
            <w:tcW w:w="11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</w:tr>
      <w:tr w:rsidR="004A4776" w:rsidRPr="004A4776" w:rsidTr="00FD3656">
        <w:trPr>
          <w:trHeight w:val="41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B Grubu</w:t>
            </w:r>
          </w:p>
        </w:tc>
        <w:tc>
          <w:tcPr>
            <w:tcW w:w="11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A4776" w:rsidRPr="004A4776" w:rsidTr="00FD3656">
        <w:trPr>
          <w:trHeight w:val="3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C Grubu</w:t>
            </w:r>
          </w:p>
        </w:tc>
        <w:tc>
          <w:tcPr>
            <w:tcW w:w="11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A4776" w:rsidRPr="004A4776" w:rsidRDefault="004A4776" w:rsidP="004A4776">
            <w:pPr>
              <w:spacing w:before="100" w:beforeAutospacing="1"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77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</w:tbl>
    <w:p w:rsidR="007F29BE" w:rsidRPr="004A4776" w:rsidRDefault="007F29BE">
      <w:pPr>
        <w:rPr>
          <w:rFonts w:ascii="Times New Roman" w:hAnsi="Times New Roman" w:cs="Times New Roman"/>
          <w:sz w:val="24"/>
          <w:szCs w:val="24"/>
        </w:rPr>
      </w:pPr>
    </w:p>
    <w:sectPr w:rsidR="007F29BE" w:rsidRPr="004A4776" w:rsidSect="004A477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76"/>
    <w:rsid w:val="004A4776"/>
    <w:rsid w:val="006126EE"/>
    <w:rsid w:val="007F29BE"/>
    <w:rsid w:val="00817404"/>
    <w:rsid w:val="008A7C95"/>
    <w:rsid w:val="00E72837"/>
    <w:rsid w:val="00F43849"/>
    <w:rsid w:val="00FD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6BF0"/>
  <w15:chartTrackingRefBased/>
  <w15:docId w15:val="{F9898733-360D-4FD3-A02C-DEBAE3B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4776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4776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3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3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BELGE YÖNETİM</dc:creator>
  <cp:keywords/>
  <dc:description/>
  <cp:lastModifiedBy>Lenovo</cp:lastModifiedBy>
  <cp:revision>2</cp:revision>
  <cp:lastPrinted>2026-03-02T06:15:00Z</cp:lastPrinted>
  <dcterms:created xsi:type="dcterms:W3CDTF">2026-03-25T07:48:00Z</dcterms:created>
  <dcterms:modified xsi:type="dcterms:W3CDTF">2026-03-25T07:48:00Z</dcterms:modified>
</cp:coreProperties>
</file>