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tblCellSpacing w:w="0" w:type="dxa"/>
        <w:tblCellMar>
          <w:left w:w="0" w:type="dxa"/>
          <w:right w:w="0" w:type="dxa"/>
        </w:tblCellMar>
        <w:tblLook w:val="04A0"/>
      </w:tblPr>
      <w:tblGrid>
        <w:gridCol w:w="11250"/>
      </w:tblGrid>
      <w:tr w:rsidR="00382BC7" w:rsidRPr="00A05F75" w:rsidTr="00382BC7">
        <w:trPr>
          <w:trHeight w:val="1200"/>
          <w:tblCellSpacing w:w="0" w:type="dxa"/>
          <w:jc w:val="center"/>
        </w:trPr>
        <w:tc>
          <w:tcPr>
            <w:tcW w:w="0" w:type="auto"/>
            <w:vAlign w:val="center"/>
            <w:hideMark/>
          </w:tcPr>
          <w:p w:rsidR="00382BC7" w:rsidRPr="00A05F75" w:rsidRDefault="00525730" w:rsidP="00A05F75">
            <w:pPr>
              <w:spacing w:after="0" w:line="240" w:lineRule="auto"/>
              <w:jc w:val="center"/>
              <w:rPr>
                <w:rFonts w:ascii="Times New Roman" w:eastAsia="Times New Roman" w:hAnsi="Times New Roman" w:cs="Times New Roman"/>
                <w:color w:val="990000"/>
                <w:sz w:val="24"/>
                <w:szCs w:val="24"/>
                <w:lang w:eastAsia="tr-TR"/>
              </w:rPr>
            </w:pPr>
            <w:r w:rsidRPr="00A05F75">
              <w:rPr>
                <w:rFonts w:ascii="Times New Roman" w:eastAsia="Times New Roman" w:hAnsi="Times New Roman" w:cs="Times New Roman"/>
                <w:color w:val="990000"/>
                <w:sz w:val="24"/>
                <w:szCs w:val="24"/>
                <w:lang w:eastAsia="tr-TR"/>
              </w:rPr>
              <w:t>HEKİM HAKLARI</w:t>
            </w:r>
          </w:p>
        </w:tc>
      </w:tr>
      <w:tr w:rsidR="00382BC7" w:rsidRPr="00A05F75" w:rsidTr="00382BC7">
        <w:trPr>
          <w:tblCellSpacing w:w="0" w:type="dxa"/>
          <w:jc w:val="center"/>
        </w:trPr>
        <w:tc>
          <w:tcPr>
            <w:tcW w:w="0" w:type="auto"/>
            <w:vAlign w:val="center"/>
            <w:hideMark/>
          </w:tcPr>
          <w:p w:rsidR="00382BC7" w:rsidRPr="00A05F75" w:rsidRDefault="00382BC7" w:rsidP="00382BC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A05F75">
              <w:rPr>
                <w:rFonts w:ascii="Times New Roman" w:eastAsia="Times New Roman" w:hAnsi="Times New Roman" w:cs="Times New Roman"/>
                <w:b/>
                <w:bCs/>
                <w:color w:val="000000"/>
                <w:sz w:val="24"/>
                <w:szCs w:val="24"/>
                <w:lang w:eastAsia="tr-TR"/>
              </w:rPr>
              <w:t>Çağdaş bilimsel tıp olanaklarını uygulama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Tıp eğitiminde yüksek teknolojinin tıptaki uygulama alanları ile tanışan bir hekimin iş yaşamında tanı ve tedavide söz konusu gelişmeleri yaşatmayı isteme hakkıdır. Hekim hastasını teknolojik açıdan daha ileri olan bir merkeze sevk edebilir.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Mesleğini uygularken etik ilkelere bağlı olma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 mesleğini uygularken yasal, politik, toplumsal, estetik ve ekonomik değerlerle çatışabilir. Bu çatışmayı çözümlerken hekimin özgür ve bağımsız karar verme hakkı vardır.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Hekimin baskı altında olmadan mesleğini uygulama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Mesleki uygulamada hekimin gereksinim duyduğu klinik özgürlüğün sağlanmasına engel olabilecek her türlü baskı girişimini reddetme hakkı vardır. Özellikle adli hekimlik alanında sorun çıkartabilen bu durumda hekim Cumhuriyet Savcılığına, Türk Tabipleri Birliğine, Dünya Hekimler Birliğine ve Avrupa İnsan Hakları Komisyonuna başvurabilir.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Hekimin kendi değerlerine ters düşen durumlardan kaçınma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Hastanın değerlerine saygı duyulan bir ilişkide, hekimler kendi de değerlerini savunabilirler. Bir hekim kendi değerlerine ters düşen uygulamalara zorlanmamalıdır.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Hekimin sağlığını koruma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Hekimin mesleğini uygularken sağlık risklerini en aza indirecek çalışma koşullarını talep etme hakkı vardır.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Hekimin yeterli bir gelir düzeyi talep etme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Hekimlerin yaptıkları ağır mesleki bilgi, yoğun emek gerektiren ve riskli olan hizmetlerinin karşılığı ödenmelidir.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Hekimin hastayı reddetme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Hasta-hekim ilişkisinin temeli karşılıklı güvendir. Hekimin kendisine güven duymayan hastayı reddetme hakkı vardır.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Hekimin yönetsel süreçlere katılma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Hekimlerin çalıştıkları kurumlarda ve yaşadıkları ülkede yönetsel süreçlerde etkili olma ve sağlıkla ilgili hazırlanan mevzuatta görüş bildirme hakkı vardır.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Hekimin danışma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Hekimin gereksinim duyduğu anda danışmaya hakkı olmalıdır. Bu danışmanlık süreci, tanı ve tedavi sorunları için olduğu kadar, etik sorunlar için de söz konusu olabilir. Her hekimin, etik karar verirken yetersiz kaldığı durumlarda bir klinik etik uzmanından danışmanlık istemeye hakkı vardır.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İyileşme garantisi vermeme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 başladığı tedaviyi sonuçlandırır, eksikleri tamamlar, hastayı iyileşinceye kadar takip eder. Fakat hekimin hastanın tamamen iyileşeceğini söylemeye hakkı yoktur. Hasta da hekimden böyle bir söz talep edemez.</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Yeterli zaman ayırma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Hekimden hastasına gerekli özeni göstermesi, bilgi ve belgeleri iyi bir şekilde kaydetmesi, hastaya hastalığı ile ilgili bilgileri verebilmesi için, yeterli zaman isteme hakkı vardır.</w:t>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color w:val="000000"/>
                <w:sz w:val="24"/>
                <w:szCs w:val="24"/>
                <w:lang w:eastAsia="tr-TR"/>
              </w:rPr>
              <w:br/>
            </w:r>
            <w:r w:rsidRPr="00A05F75">
              <w:rPr>
                <w:rFonts w:ascii="Times New Roman" w:eastAsia="Times New Roman" w:hAnsi="Times New Roman" w:cs="Times New Roman"/>
                <w:b/>
                <w:bCs/>
                <w:color w:val="000000"/>
                <w:sz w:val="24"/>
                <w:szCs w:val="24"/>
                <w:lang w:eastAsia="tr-TR"/>
              </w:rPr>
              <w:t>Tanıklıktan çekilme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Hekimin, hukuk davalarında, meslek sırrı nedeniyle tanıklıktan çekinme hakkı vardır.</w:t>
            </w:r>
          </w:p>
          <w:p w:rsidR="00382BC7" w:rsidRPr="00A05F75" w:rsidRDefault="00382BC7" w:rsidP="00382BC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A05F75">
              <w:rPr>
                <w:rFonts w:ascii="Times New Roman" w:eastAsia="Times New Roman" w:hAnsi="Times New Roman" w:cs="Times New Roman"/>
                <w:b/>
                <w:bCs/>
                <w:color w:val="000000"/>
                <w:sz w:val="24"/>
                <w:szCs w:val="24"/>
                <w:lang w:eastAsia="tr-TR"/>
              </w:rPr>
              <w:t>Tedavi yöntemini seçme hakkı:</w:t>
            </w:r>
            <w:r w:rsidRPr="00A05F75">
              <w:rPr>
                <w:rFonts w:ascii="Times New Roman" w:eastAsia="Times New Roman" w:hAnsi="Times New Roman" w:cs="Times New Roman"/>
                <w:b/>
                <w:bCs/>
                <w:color w:val="000000"/>
                <w:sz w:val="24"/>
                <w:szCs w:val="24"/>
                <w:lang w:eastAsia="tr-TR"/>
              </w:rPr>
              <w:br/>
            </w:r>
            <w:r w:rsidRPr="00A05F75">
              <w:rPr>
                <w:rFonts w:ascii="Times New Roman" w:eastAsia="Times New Roman" w:hAnsi="Times New Roman" w:cs="Times New Roman"/>
                <w:color w:val="000000"/>
                <w:sz w:val="24"/>
                <w:szCs w:val="24"/>
                <w:lang w:eastAsia="tr-TR"/>
              </w:rPr>
              <w:t>Bir hastalığın tedavisinde aynı anda birden fazla tedavi yöntemi uygulanabilmekte ise, hekim bunlardan dilediğini seçmeye özgürdür.</w:t>
            </w:r>
          </w:p>
        </w:tc>
      </w:tr>
    </w:tbl>
    <w:p w:rsidR="008D5ED2" w:rsidRPr="00A05F75" w:rsidRDefault="008D5ED2">
      <w:pPr>
        <w:rPr>
          <w:rFonts w:ascii="Times New Roman" w:hAnsi="Times New Roman" w:cs="Times New Roman"/>
          <w:sz w:val="24"/>
          <w:szCs w:val="24"/>
        </w:rPr>
      </w:pPr>
    </w:p>
    <w:sectPr w:rsidR="008D5ED2" w:rsidRPr="00A05F75" w:rsidSect="00525730">
      <w:pgSz w:w="11906" w:h="16838"/>
      <w:pgMar w:top="238" w:right="567" w:bottom="41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2BC7"/>
    <w:rsid w:val="00377054"/>
    <w:rsid w:val="00382BC7"/>
    <w:rsid w:val="00523DDA"/>
    <w:rsid w:val="00525730"/>
    <w:rsid w:val="008D5ED2"/>
    <w:rsid w:val="009432C6"/>
    <w:rsid w:val="00A05F75"/>
    <w:rsid w:val="00B754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2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2BC7"/>
    <w:rPr>
      <w:b/>
      <w:bCs/>
    </w:rPr>
  </w:style>
</w:styles>
</file>

<file path=word/webSettings.xml><?xml version="1.0" encoding="utf-8"?>
<w:webSettings xmlns:r="http://schemas.openxmlformats.org/officeDocument/2006/relationships" xmlns:w="http://schemas.openxmlformats.org/wordprocessingml/2006/main">
  <w:divs>
    <w:div w:id="1988167339">
      <w:bodyDiv w:val="1"/>
      <w:marLeft w:val="0"/>
      <w:marRight w:val="0"/>
      <w:marTop w:val="0"/>
      <w:marBottom w:val="0"/>
      <w:divBdr>
        <w:top w:val="none" w:sz="0" w:space="0" w:color="auto"/>
        <w:left w:val="none" w:sz="0" w:space="0" w:color="auto"/>
        <w:bottom w:val="none" w:sz="0" w:space="0" w:color="auto"/>
        <w:right w:val="none" w:sz="0" w:space="0" w:color="auto"/>
      </w:divBdr>
      <w:divsChild>
        <w:div w:id="158584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Company>Atatürk Üniversitesi</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mk</cp:lastModifiedBy>
  <cp:revision>6</cp:revision>
  <dcterms:created xsi:type="dcterms:W3CDTF">2014-11-07T07:52:00Z</dcterms:created>
  <dcterms:modified xsi:type="dcterms:W3CDTF">2014-11-11T14:36:00Z</dcterms:modified>
</cp:coreProperties>
</file>