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ook w:val="04A0" w:firstRow="1" w:lastRow="0" w:firstColumn="1" w:lastColumn="0" w:noHBand="0" w:noVBand="1"/>
      </w:tblPr>
      <w:tblGrid>
        <w:gridCol w:w="1634"/>
        <w:gridCol w:w="2895"/>
        <w:gridCol w:w="2967"/>
        <w:gridCol w:w="1576"/>
      </w:tblGrid>
      <w:tr w:rsidR="003309AC" w:rsidRPr="00EC6165" w:rsidTr="00904A15">
        <w:trPr>
          <w:trHeight w:val="1550"/>
        </w:trPr>
        <w:tc>
          <w:tcPr>
            <w:tcW w:w="1668" w:type="dxa"/>
            <w:tcBorders>
              <w:top w:val="nil"/>
              <w:left w:val="nil"/>
              <w:bottom w:val="single" w:sz="4" w:space="0" w:color="auto"/>
              <w:right w:val="nil"/>
            </w:tcBorders>
            <w:shd w:val="clear" w:color="auto" w:fill="auto"/>
          </w:tcPr>
          <w:p w:rsidR="003309AC" w:rsidRPr="00EC6165" w:rsidRDefault="003309AC" w:rsidP="00904A15">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637F5957" wp14:editId="27933D64">
                      <wp:simplePos x="0" y="0"/>
                      <wp:positionH relativeFrom="column">
                        <wp:posOffset>978535</wp:posOffset>
                      </wp:positionH>
                      <wp:positionV relativeFrom="paragraph">
                        <wp:posOffset>43180</wp:posOffset>
                      </wp:positionV>
                      <wp:extent cx="3863340" cy="914400"/>
                      <wp:effectExtent l="76200" t="38100" r="99060" b="114300"/>
                      <wp:wrapNone/>
                      <wp:docPr id="1" name="Yuvarlatılmış Çapraz Köşeli Dikdörtgen 1"/>
                      <wp:cNvGraphicFramePr/>
                      <a:graphic xmlns:a="http://schemas.openxmlformats.org/drawingml/2006/main">
                        <a:graphicData uri="http://schemas.microsoft.com/office/word/2010/wordprocessingShape">
                          <wps:wsp>
                            <wps:cNvSpPr/>
                            <wps:spPr>
                              <a:xfrm>
                                <a:off x="0" y="0"/>
                                <a:ext cx="3863340" cy="914400"/>
                              </a:xfrm>
                              <a:prstGeom prst="round2DiagRect">
                                <a:avLst/>
                              </a:prstGeom>
                            </wps:spPr>
                            <wps:style>
                              <a:lnRef idx="0">
                                <a:schemeClr val="accent1"/>
                              </a:lnRef>
                              <a:fillRef idx="3">
                                <a:schemeClr val="accent1"/>
                              </a:fillRef>
                              <a:effectRef idx="3">
                                <a:schemeClr val="accent1"/>
                              </a:effectRef>
                              <a:fontRef idx="minor">
                                <a:schemeClr val="lt1"/>
                              </a:fontRef>
                            </wps:style>
                            <wps:txbx>
                              <w:txbxContent>
                                <w:p w:rsidR="003309AC" w:rsidRPr="00195EA4" w:rsidRDefault="003309AC" w:rsidP="003309AC">
                                  <w:pPr>
                                    <w:pStyle w:val="AralkYok"/>
                                    <w:jc w:val="center"/>
                                    <w:rPr>
                                      <w:sz w:val="24"/>
                                      <w:szCs w:val="24"/>
                                    </w:rPr>
                                  </w:pPr>
                                  <w:r w:rsidRPr="00195EA4">
                                    <w:rPr>
                                      <w:sz w:val="24"/>
                                      <w:szCs w:val="24"/>
                                    </w:rPr>
                                    <w:t>ATATÜRK ÜNİVERSİTESİ</w:t>
                                  </w:r>
                                </w:p>
                                <w:p w:rsidR="003309AC" w:rsidRPr="00195EA4" w:rsidRDefault="003309AC" w:rsidP="003309AC">
                                  <w:pPr>
                                    <w:pStyle w:val="AralkYok"/>
                                    <w:jc w:val="center"/>
                                    <w:rPr>
                                      <w:sz w:val="24"/>
                                      <w:szCs w:val="24"/>
                                    </w:rPr>
                                  </w:pPr>
                                  <w:r w:rsidRPr="00195EA4">
                                    <w:rPr>
                                      <w:sz w:val="24"/>
                                      <w:szCs w:val="24"/>
                                    </w:rPr>
                                    <w:t>KÂZIM KARABEKİR EĞİTİM FAKÜLTESİ</w:t>
                                  </w:r>
                                </w:p>
                                <w:p w:rsidR="003309AC" w:rsidRPr="00195EA4" w:rsidRDefault="003309AC" w:rsidP="003309AC">
                                  <w:pPr>
                                    <w:pStyle w:val="AralkYok"/>
                                    <w:jc w:val="center"/>
                                    <w:rPr>
                                      <w:sz w:val="24"/>
                                      <w:szCs w:val="24"/>
                                    </w:rPr>
                                  </w:pPr>
                                  <w:r w:rsidRPr="00195EA4">
                                    <w:rPr>
                                      <w:sz w:val="24"/>
                                      <w:szCs w:val="24"/>
                                    </w:rPr>
                                    <w:t>GÖREV TANIMLARI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F5957" id="Yuvarlatılmış Çapraz Köşeli Dikdörtgen 1" o:spid="_x0000_s1026" style="position:absolute;margin-left:77.05pt;margin-top:3.4pt;width:304.2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63340,9144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" adj="-11796480,,5400" path="m152403,l3863340,r,l3863340,761997v,84170,-68233,152403,-152403,152403l,914400r,l,152403c,68233,68233,,152403,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152403,0;3863340,0;3863340,0;3863340,761997;3710937,914400;0,914400;0,914400;0,152403;152403,0" o:connectangles="0,0,0,0,0,0,0,0,0" textboxrect="0,0,3863340,914400"/>
                      <v:textbox>
                        <w:txbxContent>
                          <w:p w:rsidR="003309AC" w:rsidRPr="00195EA4" w:rsidRDefault="003309AC" w:rsidP="003309AC">
                            <w:pPr>
                              <w:pStyle w:val="AralkYok"/>
                              <w:jc w:val="center"/>
                              <w:rPr>
                                <w:sz w:val="24"/>
                                <w:szCs w:val="24"/>
                              </w:rPr>
                            </w:pPr>
                            <w:r w:rsidRPr="00195EA4">
                              <w:rPr>
                                <w:sz w:val="24"/>
                                <w:szCs w:val="24"/>
                              </w:rPr>
                              <w:t>ATATÜRK ÜNİVERSİTESİ</w:t>
                            </w:r>
                          </w:p>
                          <w:p w:rsidR="003309AC" w:rsidRPr="00195EA4" w:rsidRDefault="003309AC" w:rsidP="003309AC">
                            <w:pPr>
                              <w:pStyle w:val="AralkYok"/>
                              <w:jc w:val="center"/>
                              <w:rPr>
                                <w:sz w:val="24"/>
                                <w:szCs w:val="24"/>
                              </w:rPr>
                            </w:pPr>
                            <w:r w:rsidRPr="00195EA4">
                              <w:rPr>
                                <w:sz w:val="24"/>
                                <w:szCs w:val="24"/>
                              </w:rPr>
                              <w:t>KÂZIM KARABEKİR EĞİTİM FAKÜLTESİ</w:t>
                            </w:r>
                          </w:p>
                          <w:p w:rsidR="003309AC" w:rsidRPr="00195EA4" w:rsidRDefault="003309AC" w:rsidP="003309AC">
                            <w:pPr>
                              <w:pStyle w:val="AralkYok"/>
                              <w:jc w:val="center"/>
                              <w:rPr>
                                <w:sz w:val="24"/>
                                <w:szCs w:val="24"/>
                              </w:rPr>
                            </w:pPr>
                            <w:r w:rsidRPr="00195EA4">
                              <w:rPr>
                                <w:sz w:val="24"/>
                                <w:szCs w:val="24"/>
                              </w:rPr>
                              <w:t>GÖREV TANIMLARI</w:t>
                            </w:r>
                          </w:p>
                        </w:txbxContent>
                      </v:textbox>
                    </v:shape>
                  </w:pict>
                </mc:Fallback>
              </mc:AlternateContent>
            </w:r>
            <w:r w:rsidRPr="00EC6165">
              <w:rPr>
                <w:rFonts w:ascii="Times New Roman" w:hAnsi="Times New Roman" w:cs="Times New Roman"/>
                <w:noProof/>
                <w:sz w:val="24"/>
                <w:szCs w:val="24"/>
                <w:lang w:eastAsia="tr-TR"/>
              </w:rPr>
              <w:drawing>
                <wp:anchor distT="0" distB="0" distL="114300" distR="114300" simplePos="0" relativeHeight="251662336" behindDoc="0" locked="0" layoutInCell="1" allowOverlap="1" wp14:anchorId="56A6F68D" wp14:editId="5E4D552A">
                  <wp:simplePos x="0" y="0"/>
                  <wp:positionH relativeFrom="column">
                    <wp:posOffset>36195</wp:posOffset>
                  </wp:positionH>
                  <wp:positionV relativeFrom="paragraph">
                    <wp:posOffset>130175</wp:posOffset>
                  </wp:positionV>
                  <wp:extent cx="864000" cy="8820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000" cy="88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9AC" w:rsidRPr="00EC6165" w:rsidRDefault="003309AC" w:rsidP="00904A15">
            <w:pPr>
              <w:rPr>
                <w:rFonts w:ascii="Times New Roman" w:hAnsi="Times New Roman" w:cs="Times New Roman"/>
                <w:sz w:val="24"/>
                <w:szCs w:val="24"/>
              </w:rPr>
            </w:pPr>
          </w:p>
        </w:tc>
        <w:tc>
          <w:tcPr>
            <w:tcW w:w="6038" w:type="dxa"/>
            <w:gridSpan w:val="2"/>
            <w:tcBorders>
              <w:top w:val="nil"/>
              <w:left w:val="nil"/>
              <w:bottom w:val="single" w:sz="4" w:space="0" w:color="auto"/>
              <w:right w:val="nil"/>
            </w:tcBorders>
            <w:shd w:val="clear" w:color="auto" w:fill="auto"/>
            <w:vAlign w:val="center"/>
          </w:tcPr>
          <w:p w:rsidR="003309AC" w:rsidRPr="00EC6165" w:rsidRDefault="003309AC" w:rsidP="00904A15">
            <w:pPr>
              <w:pStyle w:val="AralkYok"/>
            </w:pPr>
          </w:p>
        </w:tc>
        <w:tc>
          <w:tcPr>
            <w:tcW w:w="1576" w:type="dxa"/>
            <w:tcBorders>
              <w:top w:val="nil"/>
              <w:left w:val="nil"/>
              <w:bottom w:val="single" w:sz="4" w:space="0" w:color="auto"/>
              <w:right w:val="nil"/>
            </w:tcBorders>
            <w:shd w:val="clear" w:color="auto" w:fill="auto"/>
          </w:tcPr>
          <w:p w:rsidR="003309AC" w:rsidRDefault="003309AC" w:rsidP="00904A15">
            <w:pPr>
              <w:pStyle w:val="AralkYok"/>
            </w:pPr>
            <w:r w:rsidRPr="00EC6165">
              <w:rPr>
                <w:noProof/>
                <w:lang w:eastAsia="tr-TR"/>
              </w:rPr>
              <w:drawing>
                <wp:anchor distT="0" distB="0" distL="114300" distR="114300" simplePos="0" relativeHeight="251664384" behindDoc="0" locked="0" layoutInCell="1" allowOverlap="1" wp14:anchorId="57C91335" wp14:editId="57F2C81F">
                  <wp:simplePos x="0" y="0"/>
                  <wp:positionH relativeFrom="column">
                    <wp:posOffset>260985</wp:posOffset>
                  </wp:positionH>
                  <wp:positionV relativeFrom="paragraph">
                    <wp:posOffset>62230</wp:posOffset>
                  </wp:positionV>
                  <wp:extent cx="852805" cy="831850"/>
                  <wp:effectExtent l="0" t="0" r="4445" b="635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3"/>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52805"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9AC" w:rsidRPr="00EC6165" w:rsidRDefault="003309AC" w:rsidP="00904A15">
            <w:pPr>
              <w:pStyle w:val="AralkYok"/>
            </w:pPr>
          </w:p>
        </w:tc>
      </w:tr>
      <w:tr w:rsidR="00FE07CB" w:rsidRPr="00EC6165" w:rsidTr="0023643C">
        <w:trPr>
          <w:trHeight w:val="298"/>
        </w:trPr>
        <w:tc>
          <w:tcPr>
            <w:tcW w:w="4641" w:type="dxa"/>
            <w:gridSpan w:val="2"/>
            <w:shd w:val="clear" w:color="auto" w:fill="DAEEF3" w:themeFill="accent5" w:themeFillTint="33"/>
          </w:tcPr>
          <w:p w:rsidR="00FE07CB" w:rsidRPr="00EC6165" w:rsidRDefault="00FE07CB" w:rsidP="0023643C">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641" w:type="dxa"/>
            <w:gridSpan w:val="2"/>
            <w:shd w:val="clear" w:color="auto" w:fill="DAEEF3" w:themeFill="accent5" w:themeFillTint="33"/>
          </w:tcPr>
          <w:p w:rsidR="00FE07CB" w:rsidRPr="00EC6165" w:rsidRDefault="00FE07CB" w:rsidP="0023643C">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FE07CB" w:rsidRPr="00EC6165" w:rsidTr="0023643C">
        <w:trPr>
          <w:trHeight w:val="298"/>
        </w:trPr>
        <w:tc>
          <w:tcPr>
            <w:tcW w:w="4641" w:type="dxa"/>
            <w:gridSpan w:val="2"/>
            <w:shd w:val="clear" w:color="auto" w:fill="DAEEF3" w:themeFill="accent5" w:themeFillTint="33"/>
          </w:tcPr>
          <w:p w:rsidR="00FE07CB" w:rsidRPr="00EC6165" w:rsidRDefault="00FE07CB" w:rsidP="00291664">
            <w:pP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Birim</w:t>
            </w:r>
          </w:p>
        </w:tc>
        <w:tc>
          <w:tcPr>
            <w:tcW w:w="4641" w:type="dxa"/>
            <w:gridSpan w:val="2"/>
            <w:shd w:val="clear" w:color="auto" w:fill="DAEEF3" w:themeFill="accent5" w:themeFillTint="33"/>
          </w:tcPr>
          <w:p w:rsidR="00FE07CB" w:rsidRPr="00EC6165" w:rsidRDefault="00FE07CB" w:rsidP="00291664">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Kâzım Karabekir Eğitim Fakültesi</w:t>
            </w:r>
          </w:p>
        </w:tc>
      </w:tr>
      <w:tr w:rsidR="00FE07CB" w:rsidRPr="00EC6165" w:rsidTr="0023643C">
        <w:trPr>
          <w:trHeight w:val="298"/>
        </w:trPr>
        <w:tc>
          <w:tcPr>
            <w:tcW w:w="4641" w:type="dxa"/>
            <w:gridSpan w:val="2"/>
            <w:shd w:val="clear" w:color="auto" w:fill="DAEEF3" w:themeFill="accent5" w:themeFillTint="33"/>
          </w:tcPr>
          <w:p w:rsidR="00FE07CB" w:rsidRPr="00EC6165" w:rsidRDefault="00FE07CB" w:rsidP="00291664">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641" w:type="dxa"/>
            <w:gridSpan w:val="2"/>
            <w:shd w:val="clear" w:color="auto" w:fill="DAEEF3" w:themeFill="accent5" w:themeFillTint="33"/>
          </w:tcPr>
          <w:p w:rsidR="00FE07CB" w:rsidRPr="00EC6165" w:rsidRDefault="00FE07CB" w:rsidP="00291664">
            <w:pPr>
              <w:rPr>
                <w:rFonts w:ascii="Times New Roman" w:hAnsi="Times New Roman" w:cs="Times New Roman"/>
                <w:sz w:val="24"/>
                <w:szCs w:val="24"/>
                <w:lang w:eastAsia="tr-TR"/>
              </w:rPr>
            </w:pPr>
            <w:proofErr w:type="spellStart"/>
            <w:r w:rsidRPr="00EC6165">
              <w:rPr>
                <w:rFonts w:ascii="Times New Roman" w:hAnsi="Times New Roman" w:cs="Times New Roman"/>
                <w:sz w:val="24"/>
                <w:szCs w:val="24"/>
                <w:lang w:eastAsia="tr-TR"/>
              </w:rPr>
              <w:t>Satınalma</w:t>
            </w:r>
            <w:proofErr w:type="spellEnd"/>
            <w:r w:rsidRPr="00EC6165">
              <w:rPr>
                <w:rFonts w:ascii="Times New Roman" w:hAnsi="Times New Roman" w:cs="Times New Roman"/>
                <w:sz w:val="24"/>
                <w:szCs w:val="24"/>
                <w:lang w:eastAsia="tr-TR"/>
              </w:rPr>
              <w:t xml:space="preserve"> Memuru</w:t>
            </w:r>
          </w:p>
        </w:tc>
      </w:tr>
      <w:tr w:rsidR="00FE07CB" w:rsidRPr="00EC6165" w:rsidTr="0023643C">
        <w:trPr>
          <w:trHeight w:val="298"/>
        </w:trPr>
        <w:tc>
          <w:tcPr>
            <w:tcW w:w="4641" w:type="dxa"/>
            <w:gridSpan w:val="2"/>
            <w:shd w:val="clear" w:color="auto" w:fill="DAEEF3" w:themeFill="accent5" w:themeFillTint="33"/>
          </w:tcPr>
          <w:p w:rsidR="00FE07CB" w:rsidRPr="00EC6165" w:rsidRDefault="00FE07CB" w:rsidP="0023643C">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641" w:type="dxa"/>
            <w:gridSpan w:val="2"/>
            <w:shd w:val="clear" w:color="auto" w:fill="DAEEF3" w:themeFill="accent5" w:themeFillTint="33"/>
          </w:tcPr>
          <w:p w:rsidR="00FE07CB" w:rsidRPr="00EC6165" w:rsidRDefault="00FE07CB" w:rsidP="0023643C">
            <w:pPr>
              <w:rPr>
                <w:rFonts w:ascii="Times New Roman" w:hAnsi="Times New Roman" w:cs="Times New Roman"/>
                <w:sz w:val="24"/>
                <w:szCs w:val="24"/>
                <w:lang w:eastAsia="tr-TR"/>
              </w:rPr>
            </w:pPr>
            <w:r>
              <w:rPr>
                <w:rFonts w:ascii="Times New Roman" w:hAnsi="Times New Roman" w:cs="Times New Roman"/>
                <w:sz w:val="24"/>
                <w:szCs w:val="24"/>
                <w:lang w:eastAsia="tr-TR"/>
              </w:rPr>
              <w:t>Dekan, Fakülte Sekreteri</w:t>
            </w:r>
          </w:p>
        </w:tc>
      </w:tr>
      <w:tr w:rsidR="00FE07CB" w:rsidRPr="00EC6165" w:rsidTr="0023643C">
        <w:trPr>
          <w:trHeight w:val="273"/>
        </w:trPr>
        <w:tc>
          <w:tcPr>
            <w:tcW w:w="4641" w:type="dxa"/>
            <w:gridSpan w:val="2"/>
            <w:shd w:val="clear" w:color="auto" w:fill="DAEEF3" w:themeFill="accent5" w:themeFillTint="33"/>
          </w:tcPr>
          <w:p w:rsidR="00FE07CB" w:rsidRPr="00EC6165" w:rsidRDefault="00FE07CB" w:rsidP="0023643C">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641" w:type="dxa"/>
            <w:gridSpan w:val="2"/>
            <w:shd w:val="clear" w:color="auto" w:fill="DAEEF3" w:themeFill="accent5" w:themeFillTint="33"/>
          </w:tcPr>
          <w:p w:rsidR="00FE07CB" w:rsidRPr="00EC6165" w:rsidRDefault="00FE07CB" w:rsidP="0023643C">
            <w:pPr>
              <w:rPr>
                <w:rFonts w:ascii="Times New Roman" w:hAnsi="Times New Roman" w:cs="Times New Roman"/>
                <w:sz w:val="24"/>
                <w:szCs w:val="24"/>
                <w:lang w:eastAsia="tr-TR"/>
              </w:rPr>
            </w:pPr>
          </w:p>
        </w:tc>
      </w:tr>
      <w:tr w:rsidR="00FE07CB" w:rsidRPr="00EC6165" w:rsidTr="0023643C">
        <w:trPr>
          <w:trHeight w:val="406"/>
        </w:trPr>
        <w:tc>
          <w:tcPr>
            <w:tcW w:w="9282" w:type="dxa"/>
            <w:gridSpan w:val="4"/>
            <w:shd w:val="clear" w:color="auto" w:fill="DAEEF3" w:themeFill="accent5" w:themeFillTint="33"/>
          </w:tcPr>
          <w:p w:rsidR="00FE07CB" w:rsidRPr="00EC6165" w:rsidRDefault="00FE07CB" w:rsidP="0023643C">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FE07CB" w:rsidRPr="00DD2EFD" w:rsidTr="0023643C">
        <w:trPr>
          <w:trHeight w:val="797"/>
        </w:trPr>
        <w:tc>
          <w:tcPr>
            <w:tcW w:w="9282" w:type="dxa"/>
            <w:gridSpan w:val="4"/>
          </w:tcPr>
          <w:p w:rsidR="00FE07CB" w:rsidRPr="00FE07CB" w:rsidRDefault="00FE07CB" w:rsidP="00FE07CB">
            <w:pPr>
              <w:pStyle w:val="AralkYok"/>
              <w:numPr>
                <w:ilvl w:val="0"/>
                <w:numId w:val="3"/>
              </w:numPr>
              <w:rPr>
                <w:rFonts w:ascii="Times New Roman" w:hAnsi="Times New Roman" w:cs="Times New Roman"/>
                <w:sz w:val="24"/>
                <w:szCs w:val="24"/>
              </w:rPr>
            </w:pPr>
            <w:r w:rsidRPr="00FE07CB">
              <w:rPr>
                <w:rFonts w:ascii="Times New Roman" w:hAnsi="Times New Roman" w:cs="Times New Roman"/>
                <w:sz w:val="24"/>
                <w:szCs w:val="24"/>
              </w:rPr>
              <w:t xml:space="preserve">ÜBYS sisteminde birimiyle ilgili yazışma ve belgeleri </w:t>
            </w:r>
            <w:r w:rsidRPr="00FE07CB">
              <w:rPr>
                <w:rFonts w:ascii="Times New Roman" w:hAnsi="Times New Roman" w:cs="Times New Roman"/>
                <w:color w:val="000000"/>
                <w:sz w:val="24"/>
                <w:szCs w:val="24"/>
              </w:rPr>
              <w:t>takip etmek ve sonuçlandırmak,</w:t>
            </w:r>
          </w:p>
          <w:p w:rsidR="00FE07CB" w:rsidRPr="00FE07CB" w:rsidRDefault="00FE07CB" w:rsidP="00FE07CB">
            <w:pPr>
              <w:pStyle w:val="AralkYok"/>
              <w:numPr>
                <w:ilvl w:val="0"/>
                <w:numId w:val="3"/>
              </w:numPr>
              <w:rPr>
                <w:rFonts w:ascii="Times New Roman" w:hAnsi="Times New Roman" w:cs="Times New Roman"/>
                <w:sz w:val="24"/>
                <w:szCs w:val="24"/>
              </w:rPr>
            </w:pPr>
            <w:r w:rsidRPr="00FE07CB">
              <w:rPr>
                <w:rFonts w:ascii="Times New Roman" w:hAnsi="Times New Roman" w:cs="Times New Roman"/>
                <w:sz w:val="24"/>
                <w:szCs w:val="24"/>
              </w:rPr>
              <w:t>Bölümlerden ve bağlı birimlerden gelen satın alınma isteklerini Fakülte Sekreterliğine sunmak ve Fakülte Sekreterliğinin teklifi ile Dekanlık Makamının onayını almak, onay alındıktan sonra satın alma komisyonu başkanına sunmak,</w:t>
            </w:r>
          </w:p>
          <w:p w:rsidR="00FE07CB" w:rsidRPr="00FE07CB" w:rsidRDefault="00FE07CB" w:rsidP="00FE07CB">
            <w:pPr>
              <w:pStyle w:val="AralkYok"/>
              <w:numPr>
                <w:ilvl w:val="0"/>
                <w:numId w:val="3"/>
              </w:numPr>
              <w:rPr>
                <w:rFonts w:ascii="Times New Roman" w:hAnsi="Times New Roman" w:cs="Times New Roman"/>
                <w:sz w:val="24"/>
                <w:szCs w:val="24"/>
              </w:rPr>
            </w:pPr>
            <w:r w:rsidRPr="00FE07CB">
              <w:rPr>
                <w:rFonts w:ascii="Times New Roman" w:hAnsi="Times New Roman" w:cs="Times New Roman"/>
                <w:color w:val="000000"/>
                <w:sz w:val="24"/>
                <w:szCs w:val="24"/>
              </w:rPr>
              <w:t>İhale ve satın alım işlemlerinin kanun ve yönetmeliklere uygun bir şekilde yapılmasını sağlamak,</w:t>
            </w:r>
          </w:p>
          <w:p w:rsidR="00FE07CB" w:rsidRPr="00FE07CB" w:rsidRDefault="00FE07CB" w:rsidP="00FE07CB">
            <w:pPr>
              <w:pStyle w:val="AralkYok"/>
              <w:numPr>
                <w:ilvl w:val="0"/>
                <w:numId w:val="3"/>
              </w:numPr>
              <w:rPr>
                <w:rFonts w:ascii="Times New Roman" w:hAnsi="Times New Roman" w:cs="Times New Roman"/>
                <w:sz w:val="24"/>
                <w:szCs w:val="24"/>
              </w:rPr>
            </w:pPr>
            <w:r w:rsidRPr="00FE07CB">
              <w:rPr>
                <w:rFonts w:ascii="Times New Roman" w:hAnsi="Times New Roman" w:cs="Times New Roman"/>
                <w:color w:val="000000"/>
                <w:sz w:val="24"/>
                <w:szCs w:val="24"/>
              </w:rPr>
              <w:t>İhale ve satın alım işlemlerinde tutulan evrakların arşivlenmesini yapmak,</w:t>
            </w:r>
          </w:p>
          <w:p w:rsidR="00FE07CB" w:rsidRPr="00FE07CB" w:rsidRDefault="00FE07CB" w:rsidP="00FE07CB">
            <w:pPr>
              <w:pStyle w:val="AralkYok"/>
              <w:numPr>
                <w:ilvl w:val="0"/>
                <w:numId w:val="3"/>
              </w:numPr>
              <w:rPr>
                <w:rFonts w:ascii="Times New Roman" w:hAnsi="Times New Roman" w:cs="Times New Roman"/>
                <w:sz w:val="24"/>
                <w:szCs w:val="24"/>
              </w:rPr>
            </w:pPr>
            <w:r w:rsidRPr="00FE07CB">
              <w:rPr>
                <w:rFonts w:ascii="Times New Roman" w:hAnsi="Times New Roman" w:cs="Times New Roman"/>
                <w:color w:val="000000"/>
                <w:sz w:val="24"/>
                <w:szCs w:val="24"/>
              </w:rPr>
              <w:t>Piyasa araştırması yaparak tekliflerin alınması ve satın alma onay belgesinin hazırlamak,</w:t>
            </w:r>
          </w:p>
          <w:p w:rsidR="00FE07CB" w:rsidRPr="00FE07CB" w:rsidRDefault="00FE07CB" w:rsidP="00FE07CB">
            <w:pPr>
              <w:pStyle w:val="AralkYok"/>
              <w:numPr>
                <w:ilvl w:val="0"/>
                <w:numId w:val="3"/>
              </w:numPr>
              <w:rPr>
                <w:rFonts w:ascii="Times New Roman" w:hAnsi="Times New Roman" w:cs="Times New Roman"/>
                <w:sz w:val="24"/>
                <w:szCs w:val="24"/>
              </w:rPr>
            </w:pPr>
            <w:r w:rsidRPr="00FE07CB">
              <w:rPr>
                <w:rFonts w:ascii="Times New Roman" w:hAnsi="Times New Roman" w:cs="Times New Roman"/>
                <w:color w:val="000000"/>
                <w:sz w:val="24"/>
                <w:szCs w:val="24"/>
              </w:rPr>
              <w:t>Hizmet alımı ile ilgili işlemleri yürütmek,</w:t>
            </w:r>
          </w:p>
          <w:p w:rsidR="00FE07CB" w:rsidRPr="00FE07CB" w:rsidRDefault="00FE07CB" w:rsidP="00FE07CB">
            <w:pPr>
              <w:pStyle w:val="AralkYok"/>
              <w:numPr>
                <w:ilvl w:val="0"/>
                <w:numId w:val="3"/>
              </w:numPr>
              <w:rPr>
                <w:rFonts w:ascii="Times New Roman" w:hAnsi="Times New Roman" w:cs="Times New Roman"/>
                <w:sz w:val="24"/>
                <w:szCs w:val="24"/>
              </w:rPr>
            </w:pPr>
            <w:r w:rsidRPr="00FE07CB">
              <w:rPr>
                <w:rFonts w:ascii="Times New Roman" w:hAnsi="Times New Roman" w:cs="Times New Roman"/>
                <w:sz w:val="24"/>
                <w:szCs w:val="24"/>
              </w:rPr>
              <w:t>Ödeme emrine bağlanacak taahhüt ve tahakkuk evraklarının tam ve eksiksiz olmasını sağlamak,</w:t>
            </w:r>
          </w:p>
          <w:p w:rsidR="00FE07CB" w:rsidRPr="00FE07CB" w:rsidRDefault="00FE07CB" w:rsidP="00FE07CB">
            <w:pPr>
              <w:pStyle w:val="AralkYok"/>
              <w:numPr>
                <w:ilvl w:val="0"/>
                <w:numId w:val="3"/>
              </w:numPr>
              <w:rPr>
                <w:rFonts w:ascii="Times New Roman" w:hAnsi="Times New Roman" w:cs="Times New Roman"/>
                <w:color w:val="000000"/>
                <w:sz w:val="24"/>
                <w:szCs w:val="24"/>
              </w:rPr>
            </w:pPr>
            <w:r w:rsidRPr="00FE07CB">
              <w:rPr>
                <w:rFonts w:ascii="Times New Roman" w:hAnsi="Times New Roman" w:cs="Times New Roman"/>
                <w:color w:val="000000"/>
                <w:sz w:val="24"/>
                <w:szCs w:val="24"/>
              </w:rPr>
              <w:t>Tüketim ve demirbaş (eğitim malzemeleri, kırtasiye, bina bakım ve onarım malzemeleri, ahşap ve metal malzemeleri, elektronik donanım ve teknolojik malzemeleri, makine ve teçhizat alım ve bakımları vb.) malzemelerinin ihale ile satın alım işlemlerini yapmak,</w:t>
            </w:r>
          </w:p>
          <w:p w:rsidR="00FE07CB" w:rsidRPr="00FE07CB" w:rsidRDefault="00FE07CB" w:rsidP="00FE07CB">
            <w:pPr>
              <w:pStyle w:val="AralkYok"/>
              <w:numPr>
                <w:ilvl w:val="0"/>
                <w:numId w:val="3"/>
              </w:numPr>
              <w:rPr>
                <w:rFonts w:ascii="Times New Roman" w:hAnsi="Times New Roman" w:cs="Times New Roman"/>
                <w:sz w:val="24"/>
                <w:szCs w:val="24"/>
              </w:rPr>
            </w:pPr>
            <w:r w:rsidRPr="00FE07CB">
              <w:rPr>
                <w:rFonts w:ascii="Times New Roman" w:hAnsi="Times New Roman" w:cs="Times New Roman"/>
                <w:color w:val="000000"/>
                <w:sz w:val="24"/>
                <w:szCs w:val="24"/>
              </w:rPr>
              <w:t>Dekanlığın görev alanı ile ilgili vereceği diğer işleri yapmak,</w:t>
            </w:r>
          </w:p>
          <w:p w:rsidR="00FE07CB" w:rsidRPr="00FE07CB" w:rsidRDefault="00FE07CB" w:rsidP="00FE07CB">
            <w:pPr>
              <w:pStyle w:val="AralkYok"/>
              <w:numPr>
                <w:ilvl w:val="0"/>
                <w:numId w:val="3"/>
              </w:numPr>
              <w:rPr>
                <w:rFonts w:ascii="Times New Roman" w:hAnsi="Times New Roman" w:cs="Times New Roman"/>
                <w:sz w:val="24"/>
                <w:szCs w:val="24"/>
              </w:rPr>
            </w:pPr>
            <w:r w:rsidRPr="00FE07CB">
              <w:rPr>
                <w:rFonts w:ascii="Times New Roman" w:hAnsi="Times New Roman" w:cs="Times New Roman"/>
                <w:color w:val="000000"/>
                <w:sz w:val="24"/>
                <w:szCs w:val="24"/>
              </w:rPr>
              <w:t>Yukarıda</w:t>
            </w:r>
            <w:r w:rsidRPr="00FE07CB">
              <w:rPr>
                <w:rFonts w:ascii="Times New Roman" w:hAnsi="Times New Roman" w:cs="Times New Roman"/>
                <w:sz w:val="24"/>
                <w:szCs w:val="24"/>
              </w:rPr>
              <w:t xml:space="preserve"> yazılı olan bütün bu görevleri kanunlara ve yönetmeliklere uygun olarak yerine getirirken, Fakülte Sekreterine karşı sorumludur.</w:t>
            </w:r>
          </w:p>
          <w:p w:rsidR="00FE07CB" w:rsidRPr="00DD2EFD" w:rsidRDefault="00FE07CB" w:rsidP="0023643C">
            <w:pPr>
              <w:pStyle w:val="ListeNumaras"/>
              <w:numPr>
                <w:ilvl w:val="0"/>
                <w:numId w:val="0"/>
              </w:numPr>
              <w:spacing w:before="0" w:after="0" w:line="276" w:lineRule="auto"/>
              <w:ind w:left="360"/>
              <w:rPr>
                <w:sz w:val="24"/>
                <w:szCs w:val="24"/>
              </w:rPr>
            </w:pPr>
          </w:p>
        </w:tc>
      </w:tr>
    </w:tbl>
    <w:p w:rsidR="00AF0F3F" w:rsidRDefault="00AF0F3F"/>
    <w:sectPr w:rsidR="00AF0F3F" w:rsidSect="00190CB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104736EB"/>
    <w:multiLevelType w:val="hybridMultilevel"/>
    <w:tmpl w:val="AE300CE4"/>
    <w:lvl w:ilvl="0" w:tplc="92CC285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E761A0"/>
    <w:multiLevelType w:val="hybridMultilevel"/>
    <w:tmpl w:val="1F64B84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3E"/>
    <w:rsid w:val="00190CBA"/>
    <w:rsid w:val="003309AC"/>
    <w:rsid w:val="0043376C"/>
    <w:rsid w:val="00560A2F"/>
    <w:rsid w:val="00AF0F3F"/>
    <w:rsid w:val="00B457C1"/>
    <w:rsid w:val="00C87BA8"/>
    <w:rsid w:val="00CD6E3E"/>
    <w:rsid w:val="00FE0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104F"/>
  <w15:docId w15:val="{C1D211D2-9281-AB40-BAB6-B95B5DA6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B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8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87BA8"/>
    <w:pPr>
      <w:spacing w:after="0" w:line="240" w:lineRule="auto"/>
    </w:pPr>
  </w:style>
  <w:style w:type="paragraph" w:styleId="NormalWeb">
    <w:name w:val="Normal (Web)"/>
    <w:basedOn w:val="Normal"/>
    <w:uiPriority w:val="99"/>
    <w:unhideWhenUsed/>
    <w:rsid w:val="00C87B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87BA8"/>
    <w:pPr>
      <w:ind w:left="720"/>
      <w:contextualSpacing/>
    </w:pPr>
  </w:style>
  <w:style w:type="paragraph" w:styleId="ListeNumaras">
    <w:name w:val="List Number"/>
    <w:basedOn w:val="Normal"/>
    <w:uiPriority w:val="99"/>
    <w:unhideWhenUsed/>
    <w:rsid w:val="00C87BA8"/>
    <w:pPr>
      <w:numPr>
        <w:numId w:val="1"/>
      </w:numPr>
      <w:spacing w:before="60" w:after="60" w:line="240" w:lineRule="auto"/>
      <w:jc w:val="both"/>
    </w:pPr>
    <w:rPr>
      <w:rFonts w:ascii="Times New Roman" w:eastAsia="Times New Roman" w:hAnsi="Times New Roman" w:cs="Times New Roman"/>
      <w:sz w:val="20"/>
      <w:szCs w:val="20"/>
      <w:lang w:eastAsia="tr-TR"/>
    </w:rPr>
  </w:style>
  <w:style w:type="character" w:styleId="Gl">
    <w:name w:val="Strong"/>
    <w:uiPriority w:val="22"/>
    <w:qFormat/>
    <w:rsid w:val="00C87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2</cp:revision>
  <dcterms:created xsi:type="dcterms:W3CDTF">2020-11-17T13:06:00Z</dcterms:created>
  <dcterms:modified xsi:type="dcterms:W3CDTF">2020-11-17T13:06:00Z</dcterms:modified>
</cp:coreProperties>
</file>